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4F72"/>
          <w:sz w:val="44"/>
          <w:szCs w:val="44"/>
        </w:rPr>
        <w:t xml:space="preserve">GLOBAL HEALTH &amp; LIFE EXPECTANCY</w:t>
      </w:r>
    </w:p>
    <w:p>
      <w:pPr>
        <w:spacing w:after="400"/>
        <w:jc w:val="center"/>
      </w:pPr>
      <w:r>
        <w:rPr>
          <w:b/>
          <w:bCs/>
          <w:color w:val="2E86C1"/>
          <w:sz w:val="28"/>
          <w:szCs w:val="28"/>
        </w:rPr>
        <w:t xml:space="preserve">An Analysis of World Development Indicators (2000–2023)</w:t>
      </w:r>
    </w:p>
    <w:p>
      <w:pPr>
        <w:spacing w:after="80" w:before="800"/>
        <w:jc w:val="center"/>
      </w:pPr>
      <w:r>
        <w:rPr>
          <w:color w:val="2C3E50"/>
          <w:sz w:val="24"/>
          <w:szCs w:val="24"/>
        </w:rPr>
        <w:t xml:space="preserve">AnalystLab Africa — Batch B Internship</w:t>
      </w:r>
    </w:p>
    <w:p>
      <w:pPr>
        <w:spacing w:after="80"/>
        <w:jc w:val="center"/>
      </w:pPr>
      <w:r>
        <w:rPr>
          <w:color w:val="2C3E50"/>
          <w:sz w:val="24"/>
          <w:szCs w:val="24"/>
        </w:rPr>
        <w:t xml:space="preserve">Final Capstone Project</w:t>
      </w:r>
    </w:p>
    <w:p>
      <w:pPr>
        <w:spacing w:after="80"/>
        <w:jc w:val="center"/>
      </w:pPr>
      <w:r>
        <w:rPr>
          <w:color w:val="2C3E50"/>
          <w:sz w:val="24"/>
          <w:szCs w:val="24"/>
        </w:rPr>
        <w:t xml:space="preserve">Prepared by: Justinah Ajayi</w:t>
      </w:r>
    </w:p>
    <w:p>
      <w:pPr>
        <w:jc w:val="center"/>
      </w:pPr>
      <w:r>
        <w:rPr>
          <w:color w:val="2C3E50"/>
          <w:sz w:val="24"/>
          <w:szCs w:val="24"/>
        </w:rPr>
        <w:t xml:space="preserve">July 2026</w:t>
      </w:r>
    </w:p>
    <w:p>
      <w:r>
        <w:br w:type="page"/>
      </w:r>
    </w:p>
    <w:p>
      <w:pPr>
        <w:pStyle w:val="Heading1"/>
        <w:pBdr>
          <w:bottom w:val="single" w:color="2E86C1" w:sz="8" w:space="4"/>
        </w:pBdr>
        <w:spacing w:after="160" w:before="320"/>
      </w:pPr>
      <w:r>
        <w:rPr>
          <w:b/>
          <w:bCs/>
          <w:color w:val="1B4F72"/>
          <w:sz w:val="30"/>
          <w:szCs w:val="30"/>
        </w:rPr>
        <w:t xml:space="preserve">1. Project Title &amp; Objective</w:t>
      </w:r>
    </w:p>
    <w:p>
      <w:pPr>
        <w:spacing w:after="160" w:line="300"/>
      </w:pPr>
      <w:r>
        <w:rPr>
          <w:color w:val="2C3E50"/>
          <w:sz w:val="22"/>
          <w:szCs w:val="22"/>
        </w:rPr>
        <w:t xml:space="preserve">Project Title: Global Health &amp; Life Expectancy Dashboard — An Analysis of World Bank World Development Indicators (WDI).</w:t>
      </w:r>
    </w:p>
    <w:p>
      <w:pPr>
        <w:spacing w:after="160" w:line="300"/>
      </w:pPr>
      <w:r>
        <w:rPr>
          <w:color w:val="2C3E50"/>
          <w:sz w:val="22"/>
          <w:szCs w:val="22"/>
        </w:rPr>
        <w:t xml:space="preserve">Objective / Problem Statement: This project examines global patterns in life expectancy and their relationship with key health indicators — health expenditure, maternal mortality, and regional/income disparities — using the World Bank's World Development Indicators dataset. The goal is to identify which regions and income groups are lagging behind global health progress, and to what extent health spending translates into better outcomes, in order to support evidence-based recommendations for stakeholders working in global health and development.</w:t>
      </w:r>
    </w:p>
    <w:p>
      <w:pPr>
        <w:pStyle w:val="Heading1"/>
        <w:pBdr>
          <w:bottom w:val="single" w:color="2E86C1" w:sz="8" w:space="4"/>
        </w:pBdr>
        <w:spacing w:after="160" w:before="320"/>
      </w:pPr>
      <w:r>
        <w:rPr>
          <w:b/>
          <w:bCs/>
          <w:color w:val="1B4F72"/>
          <w:sz w:val="30"/>
          <w:szCs w:val="30"/>
        </w:rPr>
        <w:t xml:space="preserve">2. Dataset Description</w:t>
      </w:r>
    </w:p>
    <w:p>
      <w:pPr>
        <w:spacing w:after="80"/>
      </w:pPr>
      <w:r>
        <w:rPr>
          <w:b/>
          <w:bCs/>
          <w:color w:val="1B4F72"/>
          <w:sz w:val="22"/>
          <w:szCs w:val="22"/>
        </w:rPr>
        <w:t xml:space="preserve">Source: </w:t>
      </w:r>
      <w:r>
        <w:rPr>
          <w:color w:val="2C3E50"/>
          <w:sz w:val="22"/>
          <w:szCs w:val="22"/>
        </w:rPr>
        <w:t xml:space="preserve">World Bank — World Development Indicators (WDI), https://datatopics.worldbank.org/world-development-indicators/</w:t>
      </w:r>
    </w:p>
    <w:p>
      <w:pPr>
        <w:spacing w:after="80"/>
      </w:pPr>
      <w:r>
        <w:rPr>
          <w:b/>
          <w:bCs/>
          <w:color w:val="1B4F72"/>
          <w:sz w:val="22"/>
          <w:szCs w:val="22"/>
        </w:rPr>
        <w:t xml:space="preserve">Coverage: </w:t>
      </w:r>
      <w:r>
        <w:rPr>
          <w:color w:val="2C3E50"/>
          <w:sz w:val="22"/>
          <w:szCs w:val="22"/>
        </w:rPr>
        <w:t xml:space="preserve">217 countries and territories, plus regional and income-group aggregates (264 entities total in the cleaned dataset)</w:t>
      </w:r>
    </w:p>
    <w:p>
      <w:pPr>
        <w:spacing w:after="80"/>
      </w:pPr>
      <w:r>
        <w:rPr>
          <w:b/>
          <w:bCs/>
          <w:color w:val="1B4F72"/>
          <w:sz w:val="22"/>
          <w:szCs w:val="22"/>
        </w:rPr>
        <w:t xml:space="preserve">Time range: </w:t>
      </w:r>
      <w:r>
        <w:rPr>
          <w:color w:val="2C3E50"/>
          <w:sz w:val="22"/>
          <w:szCs w:val="22"/>
        </w:rPr>
        <w:t xml:space="preserve">1960–2024 (dashboard analysis focused primarily on 2022, the most recent year with complete reporting)</w:t>
      </w:r>
    </w:p>
    <w:p>
      <w:pPr>
        <w:spacing w:after="160" w:line="300"/>
      </w:pPr>
      <w:r>
        <w:rPr>
          <w:color w:val="2C3E50"/>
          <w:sz w:val="22"/>
          <w:szCs w:val="22"/>
        </w:rPr>
        <w:t xml:space="preserve">Indicators used:</w:t>
      </w:r>
    </w:p>
    <w:p>
      <w:pPr>
        <w:pStyle w:val="ListParagraph"/>
        <w:numPr>
          <w:ilvl w:val="0"/>
          <w:numId w:val="1"/>
        </w:numPr>
        <w:spacing w:after="80"/>
      </w:pPr>
      <w:r>
        <w:rPr>
          <w:color w:val="2C3E50"/>
          <w:sz w:val="22"/>
          <w:szCs w:val="22"/>
        </w:rPr>
        <w:t xml:space="preserve">Life expectancy at birth, total (years)</w:t>
      </w:r>
    </w:p>
    <w:p>
      <w:pPr>
        <w:pStyle w:val="ListParagraph"/>
        <w:numPr>
          <w:ilvl w:val="0"/>
          <w:numId w:val="1"/>
        </w:numPr>
        <w:spacing w:after="80"/>
      </w:pPr>
      <w:r>
        <w:rPr>
          <w:color w:val="2C3E50"/>
          <w:sz w:val="22"/>
          <w:szCs w:val="22"/>
        </w:rPr>
        <w:t xml:space="preserve">Current health expenditure (% of GDP)</w:t>
      </w:r>
    </w:p>
    <w:p>
      <w:pPr>
        <w:pStyle w:val="ListParagraph"/>
        <w:numPr>
          <w:ilvl w:val="0"/>
          <w:numId w:val="1"/>
        </w:numPr>
        <w:spacing w:after="80"/>
      </w:pPr>
      <w:r>
        <w:rPr>
          <w:color w:val="2C3E50"/>
          <w:sz w:val="22"/>
          <w:szCs w:val="22"/>
        </w:rPr>
        <w:t xml:space="preserve">Maternal mortality ratio (modeled estimate, per 100,000 live births)</w:t>
      </w:r>
    </w:p>
    <w:p>
      <w:pPr>
        <w:pStyle w:val="ListParagraph"/>
        <w:numPr>
          <w:ilvl w:val="0"/>
          <w:numId w:val="1"/>
        </w:numPr>
        <w:spacing w:after="80"/>
      </w:pPr>
      <w:r>
        <w:rPr>
          <w:color w:val="2C3E50"/>
          <w:sz w:val="22"/>
          <w:szCs w:val="22"/>
        </w:rPr>
        <w:t xml:space="preserve">Country metadata: Region and Income Group classification (from WDICountry.csv)</w:t>
      </w:r>
    </w:p>
    <w:p>
      <w:pPr>
        <w:pStyle w:val="Heading1"/>
        <w:pBdr>
          <w:bottom w:val="single" w:color="2E86C1" w:sz="8" w:space="4"/>
        </w:pBdr>
        <w:spacing w:after="160" w:before="320"/>
      </w:pPr>
      <w:r>
        <w:rPr>
          <w:b/>
          <w:bCs/>
          <w:color w:val="1B4F72"/>
          <w:sz w:val="30"/>
          <w:szCs w:val="30"/>
        </w:rPr>
        <w:t xml:space="preserve">3. Data Cleaning Process</w:t>
      </w:r>
    </w:p>
    <w:p>
      <w:pPr>
        <w:spacing w:after="160" w:line="300"/>
      </w:pPr>
      <w:r>
        <w:rPr>
          <w:color w:val="2C3E50"/>
          <w:sz w:val="22"/>
          <w:szCs w:val="22"/>
        </w:rPr>
        <w:t xml:space="preserve">The raw WDICSV.csv file (70 columns, 900,000+ rows) was cleaned and transformed in Power Query using the following steps:</w:t>
      </w:r>
    </w:p>
    <w:p>
      <w:pPr>
        <w:pStyle w:val="ListParagraph"/>
        <w:numPr>
          <w:ilvl w:val="0"/>
          <w:numId w:val="1"/>
        </w:numPr>
        <w:spacing w:after="80"/>
      </w:pPr>
      <w:r>
        <w:rPr>
          <w:color w:val="2C3E50"/>
          <w:sz w:val="22"/>
          <w:szCs w:val="22"/>
        </w:rPr>
        <w:t xml:space="preserve">Promoted the first row to column headers (Country Name, Country Code, Indicator Name, Indicator Code, and one column per year).</w:t>
      </w:r>
    </w:p>
    <w:p>
      <w:pPr>
        <w:pStyle w:val="ListParagraph"/>
        <w:numPr>
          <w:ilvl w:val="0"/>
          <w:numId w:val="1"/>
        </w:numPr>
        <w:spacing w:after="80"/>
      </w:pPr>
      <w:r>
        <w:rPr>
          <w:color w:val="2C3E50"/>
          <w:sz w:val="22"/>
          <w:szCs w:val="22"/>
        </w:rPr>
        <w:t xml:space="preserve">Filtered the Indicator Name column to retain only rows relevant to the health and life expectancy theme (life expectancy, mortality, health expenditure, immunization, physicians, undernourishment, and access to basic drinking water).</w:t>
      </w:r>
    </w:p>
    <w:p>
      <w:pPr>
        <w:pStyle w:val="ListParagraph"/>
        <w:numPr>
          <w:ilvl w:val="0"/>
          <w:numId w:val="1"/>
        </w:numPr>
        <w:spacing w:after="80"/>
      </w:pPr>
      <w:r>
        <w:rPr>
          <w:color w:val="2C3E50"/>
          <w:sz w:val="22"/>
          <w:szCs w:val="22"/>
        </w:rPr>
        <w:t xml:space="preserve">Unpivoted the year columns (1960–2025) into two columns — Year and Value — converting the dataset from wide format to long format suitable for trend analysis and visualization.</w:t>
      </w:r>
    </w:p>
    <w:p>
      <w:pPr>
        <w:pStyle w:val="ListParagraph"/>
        <w:numPr>
          <w:ilvl w:val="0"/>
          <w:numId w:val="1"/>
        </w:numPr>
        <w:spacing w:after="80"/>
      </w:pPr>
      <w:r>
        <w:rPr>
          <w:color w:val="2C3E50"/>
          <w:sz w:val="22"/>
          <w:szCs w:val="22"/>
        </w:rPr>
        <w:t xml:space="preserve">Converted the Year column to a whole-number data type and removed rows with null or blank values.</w:t>
      </w:r>
    </w:p>
    <w:p>
      <w:pPr>
        <w:pStyle w:val="ListParagraph"/>
        <w:numPr>
          <w:ilvl w:val="0"/>
          <w:numId w:val="1"/>
        </w:numPr>
        <w:spacing w:after="80"/>
      </w:pPr>
      <w:r>
        <w:rPr>
          <w:color w:val="2C3E50"/>
          <w:sz w:val="22"/>
          <w:szCs w:val="22"/>
        </w:rPr>
        <w:t xml:space="preserve">Removed duplicate rows based on the combination of Country Name, Indicator Name, and Year.</w:t>
      </w:r>
    </w:p>
    <w:p>
      <w:pPr>
        <w:pStyle w:val="ListParagraph"/>
        <w:numPr>
          <w:ilvl w:val="0"/>
          <w:numId w:val="1"/>
        </w:numPr>
        <w:spacing w:after="80"/>
      </w:pPr>
      <w:r>
        <w:rPr>
          <w:color w:val="2C3E50"/>
          <w:sz w:val="22"/>
          <w:szCs w:val="22"/>
        </w:rPr>
        <w:t xml:space="preserve">Merged in Region and Income Group classifications from WDICountry.csv using Country Code as the join key (left outer join), enabling filtering and grouping by region and income level.</w:t>
      </w:r>
    </w:p>
    <w:p>
      <w:pPr>
        <w:pStyle w:val="ListParagraph"/>
        <w:numPr>
          <w:ilvl w:val="0"/>
          <w:numId w:val="1"/>
        </w:numPr>
        <w:spacing w:after="80"/>
      </w:pPr>
      <w:r>
        <w:rPr>
          <w:color w:val="2C3E50"/>
          <w:sz w:val="22"/>
          <w:szCs w:val="22"/>
        </w:rPr>
        <w:t xml:space="preserve">Retained both individual country rows and regional/income-group aggregate rows, allowing the dashboard to support both country-level comparison and high-level regional trend analysis.</w:t>
      </w:r>
    </w:p>
    <w:p>
      <w:pPr>
        <w:pStyle w:val="Heading1"/>
        <w:pBdr>
          <w:bottom w:val="single" w:color="2E86C1" w:sz="8" w:space="4"/>
        </w:pBdr>
        <w:spacing w:after="160" w:before="320"/>
      </w:pPr>
      <w:r>
        <w:rPr>
          <w:b/>
          <w:bCs/>
          <w:color w:val="1B4F72"/>
          <w:sz w:val="30"/>
          <w:szCs w:val="30"/>
        </w:rPr>
        <w:t xml:space="preserve">4. Analysis Methodology</w:t>
      </w:r>
    </w:p>
    <w:p>
      <w:pPr>
        <w:spacing w:after="160" w:line="300"/>
      </w:pPr>
      <w:r>
        <w:rPr>
          <w:color w:val="2C3E50"/>
          <w:sz w:val="22"/>
          <w:szCs w:val="22"/>
        </w:rPr>
        <w:t xml:space="preserve">With the cleaned dataset loaded into Power BI, the analysis focused on three angles:</w:t>
      </w:r>
    </w:p>
    <w:p>
      <w:pPr>
        <w:pStyle w:val="ListParagraph"/>
        <w:numPr>
          <w:ilvl w:val="0"/>
          <w:numId w:val="1"/>
        </w:numPr>
        <w:spacing w:after="80"/>
      </w:pPr>
      <w:r>
        <w:rPr>
          <w:color w:val="2C3E50"/>
          <w:sz w:val="22"/>
          <w:szCs w:val="22"/>
        </w:rPr>
        <w:t xml:space="preserve">Trend analysis: tracking average life expectancy by region from 1960 to 2024 to observe long-term progress and regional gaps.</w:t>
      </w:r>
    </w:p>
    <w:p>
      <w:pPr>
        <w:pStyle w:val="ListParagraph"/>
        <w:numPr>
          <w:ilvl w:val="0"/>
          <w:numId w:val="1"/>
        </w:numPr>
        <w:spacing w:after="80"/>
      </w:pPr>
      <w:r>
        <w:rPr>
          <w:color w:val="2C3E50"/>
          <w:sz w:val="22"/>
          <w:szCs w:val="22"/>
        </w:rPr>
        <w:t xml:space="preserve">Comparative ranking: identifying the top 10 countries by life expectancy and the top 15 countries by health expenditure (% of GDP) in 2022.</w:t>
      </w:r>
    </w:p>
    <w:p>
      <w:pPr>
        <w:pStyle w:val="ListParagraph"/>
        <w:numPr>
          <w:ilvl w:val="0"/>
          <w:numId w:val="1"/>
        </w:numPr>
        <w:spacing w:after="80"/>
      </w:pPr>
      <w:r>
        <w:rPr>
          <w:color w:val="2C3E50"/>
          <w:sz w:val="22"/>
          <w:szCs w:val="22"/>
        </w:rPr>
        <w:t xml:space="preserve">Cross-indicator context: assessing whether high health expenditure (as a share of GDP) corresponds with high life expectancy, to surface the relationship between healthcare investment and outcomes.</w:t>
      </w:r>
    </w:p>
    <w:p>
      <w:pPr>
        <w:spacing w:after="160" w:line="300"/>
      </w:pPr>
      <w:r>
        <w:rPr>
          <w:color w:val="2C3E50"/>
          <w:sz w:val="22"/>
          <w:szCs w:val="22"/>
        </w:rPr>
        <w:t xml:space="preserve">Interactive slicers for Region, Income Group, and Year were added so that stakeholders can filter the entire dashboard to any subset of interest.</w:t>
      </w:r>
    </w:p>
    <w:p>
      <w:pPr>
        <w:pStyle w:val="Heading1"/>
        <w:pBdr>
          <w:bottom w:val="single" w:color="2E86C1" w:sz="8" w:space="4"/>
        </w:pBdr>
        <w:spacing w:after="160" w:before="320"/>
      </w:pPr>
      <w:r>
        <w:rPr>
          <w:b/>
          <w:bCs/>
          <w:color w:val="1B4F72"/>
          <w:sz w:val="30"/>
          <w:szCs w:val="30"/>
        </w:rPr>
        <w:t xml:space="preserve">5. Key Findings</w:t>
      </w:r>
    </w:p>
    <w:p>
      <w:pPr>
        <w:pStyle w:val="Heading2"/>
        <w:spacing w:after="120" w:before="240"/>
      </w:pPr>
      <w:r>
        <w:rPr>
          <w:b/>
          <w:bCs/>
          <w:color w:val="2E86C1"/>
          <w:sz w:val="24"/>
          <w:szCs w:val="24"/>
        </w:rPr>
        <w:t xml:space="preserve">5.1 Persistent regional gap in life expectancy</w:t>
      </w:r>
    </w:p>
    <w:p>
      <w:pPr>
        <w:spacing w:after="160" w:line="300"/>
      </w:pPr>
      <w:r>
        <w:rPr>
          <w:color w:val="2C3E50"/>
          <w:sz w:val="22"/>
          <w:szCs w:val="22"/>
        </w:rPr>
        <w:t xml:space="preserve">Global average life expectancy in 2022 stood at 72.84 years. However, the trend line shows Sub-Saharan Africa consistently trailing all other regions across the full 1960–2024 period, currently averaging in the mid-60s while North America, Europe &amp; Central Asia, and East Asia &amp; Pacific cluster around 75–83 years. Despite steady improvement across every region, this gap has not closed.</w:t>
      </w:r>
    </w:p>
    <w:p>
      <w:pPr>
        <w:pStyle w:val="Heading2"/>
        <w:spacing w:after="120" w:before="240"/>
      </w:pPr>
      <w:r>
        <w:rPr>
          <w:b/>
          <w:bCs/>
          <w:color w:val="2E86C1"/>
          <w:sz w:val="24"/>
          <w:szCs w:val="24"/>
        </w:rPr>
        <w:t xml:space="preserve">5.2 Small, high-income territories dominate the top rankings</w:t>
      </w:r>
    </w:p>
    <w:p>
      <w:pPr>
        <w:spacing w:after="160" w:line="300"/>
      </w:pPr>
      <w:r>
        <w:rPr>
          <w:color w:val="2C3E50"/>
          <w:sz w:val="22"/>
          <w:szCs w:val="22"/>
        </w:rPr>
        <w:t xml:space="preserve">The top 10 countries by life expectancy in 2022 — Monaco, San Marino, Liechtenstein, Andorra, Japan, French Polynesia, Hong Kong SAR, Switzerland, Gibraltar, and Australia — are overwhelmingly small, wealthy nations or territories rather than large economies. This suggests that population size and land area are not drivers of health outcomes; concentrated wealth, strong healthcare infrastructure, and smaller populations to serve appear more influential.</w:t>
      </w:r>
    </w:p>
    <w:p>
      <w:pPr>
        <w:pStyle w:val="Heading2"/>
        <w:spacing w:after="120" w:before="240"/>
      </w:pPr>
      <w:r>
        <w:rPr>
          <w:b/>
          <w:bCs/>
          <w:color w:val="2E86C1"/>
          <w:sz w:val="24"/>
          <w:szCs w:val="24"/>
        </w:rPr>
        <w:t xml:space="preserve">5.3 High spending (% of GDP) does not guarantee top health outcomes</w:t>
      </w:r>
    </w:p>
    <w:p>
      <w:pPr>
        <w:spacing w:after="160" w:line="300"/>
      </w:pPr>
      <w:r>
        <w:rPr>
          <w:color w:val="2C3E50"/>
          <w:sz w:val="22"/>
          <w:szCs w:val="22"/>
        </w:rPr>
        <w:t xml:space="preserve">The top 15 countries by health expenditure as a percentage of GDP — including Afghanistan, Tuvalu, Nauru, the United States, and Liberia — show little overlap with the top 10 countries by life expectancy. This indicates that spending measured as a share of GDP is not, by itself, a reliable predictor of health outcomes. In several cases (e.g., Afghanistan, Liberia), a high percentage reflects a small overall GDP rather than high absolute spending, while in others (e.g., the United States) high spending has not translated into a top-10 life expectancy ranking, pointing to system efficiency and equity of access as important additional factors.</w:t>
      </w:r>
    </w:p>
    <w:p>
      <w:pPr>
        <w:pStyle w:val="Heading2"/>
        <w:spacing w:after="120" w:before="240"/>
      </w:pPr>
      <w:r>
        <w:rPr>
          <w:b/>
          <w:bCs/>
          <w:color w:val="2E86C1"/>
          <w:sz w:val="24"/>
          <w:szCs w:val="24"/>
        </w:rPr>
        <w:t xml:space="preserve">5.4 Maternal health remains a global concern</w:t>
      </w:r>
    </w:p>
    <w:p>
      <w:pPr>
        <w:spacing w:after="160" w:line="300"/>
      </w:pPr>
      <w:r>
        <w:rPr>
          <w:color w:val="2C3E50"/>
          <w:sz w:val="22"/>
          <w:szCs w:val="22"/>
        </w:rPr>
        <w:t xml:space="preserve">The global average maternal mortality ratio stands at 133.05 deaths per 100,000 live births in 2022 — a figure that masks very large disparities between high-income and low-income regions, reinforcing the need for targeted maternal healthcare investment in lagging regions.</w:t>
      </w:r>
    </w:p>
    <w:p>
      <w:pPr>
        <w:pStyle w:val="Heading2"/>
        <w:spacing w:after="120" w:before="240"/>
      </w:pPr>
      <w:r>
        <w:rPr>
          <w:b/>
          <w:bCs/>
          <w:color w:val="2E86C1"/>
          <w:sz w:val="24"/>
          <w:szCs w:val="24"/>
        </w:rPr>
        <w:t xml:space="preserve">5.5 Steady worldwide progress, with a visible pandemic-era dip</w:t>
      </w:r>
    </w:p>
    <w:p>
      <w:pPr>
        <w:spacing w:after="160" w:line="300"/>
      </w:pPr>
      <w:r>
        <w:rPr>
          <w:color w:val="2C3E50"/>
          <w:sz w:val="22"/>
          <w:szCs w:val="22"/>
        </w:rPr>
        <w:t xml:space="preserve">Every region shows consistent upward progress in life expectancy from 1960 onward. A visible dip appears around 2020–2021 across nearly all regions, consistent with the global impact of the COVID-19 pandemic, followed by a partial recovery in subsequent years.</w:t>
      </w:r>
    </w:p>
    <w:p>
      <w:pPr>
        <w:pStyle w:val="Heading1"/>
        <w:pBdr>
          <w:bottom w:val="single" w:color="2E86C1" w:sz="8" w:space="4"/>
        </w:pBdr>
        <w:spacing w:after="160" w:before="320"/>
      </w:pPr>
      <w:r>
        <w:rPr>
          <w:b/>
          <w:bCs/>
          <w:color w:val="1B4F72"/>
          <w:sz w:val="30"/>
          <w:szCs w:val="30"/>
        </w:rPr>
        <w:t xml:space="preserve">6. Insights</w:t>
      </w:r>
    </w:p>
    <w:p>
      <w:pPr>
        <w:pStyle w:val="ListParagraph"/>
        <w:numPr>
          <w:ilvl w:val="0"/>
          <w:numId w:val="1"/>
        </w:numPr>
        <w:spacing w:after="80"/>
      </w:pPr>
      <w:r>
        <w:rPr>
          <w:color w:val="2C3E50"/>
          <w:sz w:val="22"/>
          <w:szCs w:val="22"/>
        </w:rPr>
        <w:t xml:space="preserve">Health outcome disparities are strongly tied to region and income group, not to country size or population — targeted intervention in Sub-Saharan Africa would have an outsized impact on closing the global life expectancy gap.</w:t>
      </w:r>
    </w:p>
    <w:p>
      <w:pPr>
        <w:pStyle w:val="ListParagraph"/>
        <w:numPr>
          <w:ilvl w:val="0"/>
          <w:numId w:val="1"/>
        </w:numPr>
        <w:spacing w:after="80"/>
      </w:pPr>
      <w:r>
        <w:rPr>
          <w:color w:val="2C3E50"/>
          <w:sz w:val="22"/>
          <w:szCs w:val="22"/>
        </w:rPr>
        <w:t xml:space="preserve">Percentage-of-GDP health spending is a weak standalone indicator of health system effectiveness; absolute spending, efficiency of allocation, and access equity matter more than the headline percentage.</w:t>
      </w:r>
    </w:p>
    <w:p>
      <w:pPr>
        <w:pStyle w:val="ListParagraph"/>
        <w:numPr>
          <w:ilvl w:val="0"/>
          <w:numId w:val="1"/>
        </w:numPr>
        <w:spacing w:after="80"/>
      </w:pPr>
      <w:r>
        <w:rPr>
          <w:color w:val="2C3E50"/>
          <w:sz w:val="22"/>
          <w:szCs w:val="22"/>
        </w:rPr>
        <w:t xml:space="preserve">Maternal mortality remains a critical, unresolved health challenge globally and should be prioritized alongside general life expectancy metrics.</w:t>
      </w:r>
    </w:p>
    <w:p>
      <w:pPr>
        <w:pStyle w:val="ListParagraph"/>
        <w:numPr>
          <w:ilvl w:val="0"/>
          <w:numId w:val="1"/>
        </w:numPr>
        <w:spacing w:after="80"/>
      </w:pPr>
      <w:r>
        <w:rPr>
          <w:color w:val="2C3E50"/>
          <w:sz w:val="22"/>
          <w:szCs w:val="22"/>
        </w:rPr>
        <w:t xml:space="preserve">The COVID-19 dip visible across nearly all regions demonstrates the global health system's shared vulnerability to shocks, regardless of income level.</w:t>
      </w:r>
    </w:p>
    <w:p>
      <w:pPr>
        <w:pStyle w:val="Heading1"/>
        <w:pBdr>
          <w:bottom w:val="single" w:color="2E86C1" w:sz="8" w:space="4"/>
        </w:pBdr>
        <w:spacing w:after="160" w:before="320"/>
      </w:pPr>
      <w:r>
        <w:rPr>
          <w:b/>
          <w:bCs/>
          <w:color w:val="1B4F72"/>
          <w:sz w:val="30"/>
          <w:szCs w:val="30"/>
        </w:rPr>
        <w:t xml:space="preserve">7. Recommendations</w:t>
      </w:r>
    </w:p>
    <w:p>
      <w:pPr>
        <w:pStyle w:val="ListParagraph"/>
        <w:numPr>
          <w:ilvl w:val="0"/>
          <w:numId w:val="1"/>
        </w:numPr>
        <w:spacing w:after="80"/>
      </w:pPr>
      <w:r>
        <w:rPr>
          <w:color w:val="2C3E50"/>
          <w:sz w:val="22"/>
          <w:szCs w:val="22"/>
        </w:rPr>
        <w:t xml:space="preserve">Stakeholders and development agencies should prioritize direct healthcare infrastructure and maternal health investment in Sub-Saharan Africa and other lagging regions, rather than relying solely on GDP-linked spending targets.</w:t>
      </w:r>
    </w:p>
    <w:p>
      <w:pPr>
        <w:pStyle w:val="ListParagraph"/>
        <w:numPr>
          <w:ilvl w:val="0"/>
          <w:numId w:val="1"/>
        </w:numPr>
        <w:spacing w:after="80"/>
      </w:pPr>
      <w:r>
        <w:rPr>
          <w:color w:val="2C3E50"/>
          <w:sz w:val="22"/>
          <w:szCs w:val="22"/>
        </w:rPr>
        <w:t xml:space="preserve">Policymakers should look beyond percentage-of-GDP health expenditure as a success metric and instead track outcome-based indicators (life expectancy, maternal and under-5 mortality) alongside spending efficiency.</w:t>
      </w:r>
    </w:p>
    <w:p>
      <w:pPr>
        <w:pStyle w:val="ListParagraph"/>
        <w:numPr>
          <w:ilvl w:val="0"/>
          <w:numId w:val="1"/>
        </w:numPr>
        <w:spacing w:after="80"/>
      </w:pPr>
      <w:r>
        <w:rPr>
          <w:color w:val="2C3E50"/>
          <w:sz w:val="22"/>
          <w:szCs w:val="22"/>
        </w:rPr>
        <w:t xml:space="preserve">Further research should examine absolute per-capita health spending (rather than % of GDP) to better isolate the true relationship between investment and outcomes.</w:t>
      </w:r>
    </w:p>
    <w:p>
      <w:pPr>
        <w:pStyle w:val="ListParagraph"/>
        <w:numPr>
          <w:ilvl w:val="0"/>
          <w:numId w:val="1"/>
        </w:numPr>
        <w:spacing w:after="80"/>
      </w:pPr>
      <w:r>
        <w:rPr>
          <w:color w:val="2C3E50"/>
          <w:sz w:val="22"/>
          <w:szCs w:val="22"/>
        </w:rPr>
        <w:t xml:space="preserve">Given the visible 2020–2021 dip across regions, health systems should build pandemic-resilience and rapid-response capacity into long-term planning, particularly in lower-income regions with fewer buffers.</w:t>
      </w:r>
    </w:p>
    <w:p>
      <w:pPr>
        <w:pStyle w:val="ListParagraph"/>
        <w:numPr>
          <w:ilvl w:val="0"/>
          <w:numId w:val="1"/>
        </w:numPr>
        <w:spacing w:after="80"/>
      </w:pPr>
      <w:r>
        <w:rPr>
          <w:color w:val="2C3E50"/>
          <w:sz w:val="22"/>
          <w:szCs w:val="22"/>
        </w:rPr>
        <w:t xml:space="preserve">Future iterations of this dashboard could incorporate additional indicators — such as immunization coverage, physicians per capita, and access to clean water — to build a more complete picture of the drivers behind these outcomes.</w:t>
      </w:r>
    </w:p>
    <w:p>
      <w:pPr>
        <w:pStyle w:val="Heading1"/>
        <w:pBdr>
          <w:bottom w:val="single" w:color="2E86C1" w:sz="8" w:space="4"/>
        </w:pBdr>
        <w:spacing w:after="160" w:before="320"/>
      </w:pPr>
      <w:r>
        <w:rPr>
          <w:b/>
          <w:bCs/>
          <w:color w:val="1B4F72"/>
          <w:sz w:val="30"/>
          <w:szCs w:val="30"/>
        </w:rPr>
        <w:t xml:space="preserve">8. Conclusion</w:t>
      </w:r>
    </w:p>
    <w:p>
      <w:pPr>
        <w:spacing w:after="160" w:line="300"/>
      </w:pPr>
      <w:r>
        <w:rPr>
          <w:color w:val="2C3E50"/>
          <w:sz w:val="22"/>
          <w:szCs w:val="22"/>
        </w:rPr>
        <w:t xml:space="preserve">This analysis of World Bank WDI data confirms that while global life expectancy has improved steadily since 1960, significant and persistent regional disparities remain — most notably in Sub-Saharan Africa. Health expenditure as a percentage of GDP is not a reliable stand-alone predictor of outcomes, underscoring the importance of how resources are spent, not just how much is spent relative to national income. These findings support a continued, targeted focus on maternal health, regional equity, and outcome-based policy evaluation for global health stakeholders.</w:t>
      </w:r>
    </w:p>
    <w:p>
      <w:pPr>
        <w:pStyle w:val="Heading1"/>
        <w:pBdr>
          <w:bottom w:val="single" w:color="2E86C1" w:sz="8" w:space="4"/>
        </w:pBdr>
        <w:spacing w:after="160" w:before="320"/>
      </w:pPr>
      <w:r>
        <w:rPr>
          <w:b/>
          <w:bCs/>
          <w:color w:val="1B4F72"/>
          <w:sz w:val="30"/>
          <w:szCs w:val="30"/>
        </w:rPr>
        <w:t xml:space="preserve">9. Dashboard</w:t>
      </w:r>
    </w:p>
    <w:p>
      <w:pPr>
        <w:spacing w:after="160" w:line="300"/>
      </w:pPr>
      <w:r>
        <w:rPr>
          <w:color w:val="2C3E50"/>
          <w:sz w:val="22"/>
          <w:szCs w:val="22"/>
        </w:rPr>
        <w:t xml:space="preserve">The interactive Power BI dashboard below includes four KPI cards, a regional life expectancy trend line (1960–2024), Top 10 and Top 15 country comparison charts, and Region / Income Group / Year slicers for interactive exploration.</w:t>
      </w:r>
    </w:p>
    <w:p>
      <w:pPr>
        <w:spacing w:before="200"/>
        <w:jc w:val="center"/>
      </w:pPr>
      <w:r>
        <w:drawing>
          <wp:inline distT="0" distB="0" distL="0" distR="0">
            <wp:extent cx="5715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4805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4133e37b04f34666f03267648ca99bbbd4d87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2026-07-29T00:13:50.459Z</dcterms:created>
  <dcterms:modified xsi:type="dcterms:W3CDTF">2026-07-29T00:13:50.489Z</dcterms:modified>
</cp:coreProperties>
</file>

<file path=docProps/custom.xml><?xml version="1.0" encoding="utf-8"?>
<Properties xmlns="http://schemas.openxmlformats.org/officeDocument/2006/custom-properties" xmlns:vt="http://schemas.openxmlformats.org/officeDocument/2006/docPropsVTypes"/>
</file>