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長庚大學資訊工程學系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Department of Computer Science and Information Engineering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Chang Gung University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60"/>
          <w:szCs w:val="60"/>
        </w:rPr>
      </w:pPr>
      <w:r w:rsidDel="00000000" w:rsidR="00000000" w:rsidRPr="00000000">
        <w:rPr>
          <w:rFonts w:ascii="DFKai-SB" w:cs="DFKai-SB" w:eastAsia="DFKai-SB" w:hAnsi="DFKai-SB"/>
          <w:b w:val="1"/>
          <w:sz w:val="60"/>
          <w:szCs w:val="60"/>
          <w:rtl w:val="0"/>
        </w:rPr>
        <w:t xml:space="preserve">腦血管疾病檢測系統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60"/>
          <w:szCs w:val="60"/>
        </w:rPr>
      </w:pPr>
      <w:r w:rsidDel="00000000" w:rsidR="00000000" w:rsidRPr="00000000">
        <w:rPr>
          <w:rFonts w:ascii="DFKai-SB" w:cs="DFKai-SB" w:eastAsia="DFKai-SB" w:hAnsi="DFKai-SB"/>
          <w:b w:val="1"/>
          <w:sz w:val="60"/>
          <w:szCs w:val="60"/>
          <w:rtl w:val="0"/>
        </w:rPr>
        <w:t xml:space="preserve">專題設計規格書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撰寫者 : 資工三 B0929017 林峻陽</w:t>
      </w:r>
    </w:p>
    <w:p w:rsidR="00000000" w:rsidDel="00000000" w:rsidP="00000000" w:rsidRDefault="00000000" w:rsidRPr="00000000" w14:paraId="0000000E">
      <w:pPr>
        <w:spacing w:after="240" w:before="240" w:lineRule="auto"/>
        <w:ind w:left="480" w:firstLine="480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資工三 B0929032 許博森</w:t>
      </w:r>
    </w:p>
    <w:p w:rsidR="00000000" w:rsidDel="00000000" w:rsidP="00000000" w:rsidRDefault="00000000" w:rsidRPr="00000000" w14:paraId="0000000F">
      <w:pPr>
        <w:spacing w:after="240" w:before="240" w:lineRule="auto"/>
        <w:ind w:left="960" w:firstLine="0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資工三 B0929055 謝牧辰</w:t>
      </w:r>
    </w:p>
    <w:p w:rsidR="00000000" w:rsidDel="00000000" w:rsidP="00000000" w:rsidRDefault="00000000" w:rsidRPr="00000000" w14:paraId="00000010">
      <w:pPr>
        <w:spacing w:after="240" w:before="240" w:lineRule="auto"/>
        <w:ind w:left="960" w:firstLine="0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 資工三 B0843042 黃子庭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指導教授 : 吳世琳 教授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DFKai-SB" w:cs="DFKai-SB" w:eastAsia="DFKai-SB" w:hAnsi="DFKai-SB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中華民國 112年 1月-6月</w:t>
      </w:r>
    </w:p>
    <w:p w:rsidR="00000000" w:rsidDel="00000000" w:rsidP="00000000" w:rsidRDefault="00000000" w:rsidRPr="00000000" w14:paraId="00000013">
      <w:pPr>
        <w:pStyle w:val="Title"/>
        <w:spacing w:after="240" w:before="240" w:lineRule="auto"/>
        <w:jc w:val="center"/>
        <w:rPr>
          <w:rFonts w:ascii="DFKai-SB" w:cs="DFKai-SB" w:eastAsia="DFKai-SB" w:hAnsi="DFKai-SB"/>
          <w:b w:val="1"/>
          <w:sz w:val="48"/>
          <w:szCs w:val="48"/>
        </w:rPr>
      </w:pPr>
      <w:r w:rsidDel="00000000" w:rsidR="00000000" w:rsidRPr="00000000">
        <w:rPr>
          <w:rFonts w:ascii="DFKai-SB" w:cs="DFKai-SB" w:eastAsia="DFKai-SB" w:hAnsi="DFKai-SB"/>
          <w:b w:val="1"/>
          <w:sz w:val="48"/>
          <w:szCs w:val="48"/>
          <w:rtl w:val="0"/>
        </w:rPr>
        <w:t xml:space="preserve">目錄</w:t>
      </w:r>
    </w:p>
    <w:p w:rsidR="00000000" w:rsidDel="00000000" w:rsidP="00000000" w:rsidRDefault="00000000" w:rsidRPr="00000000" w14:paraId="00000014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0" w:before="240" w:line="276" w:lineRule="auto"/>
            <w:ind w:left="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系統簡介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規格目的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規格範圍說明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參考資料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0" w:before="240" w:line="276" w:lineRule="auto"/>
            <w:ind w:left="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系統概述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系統目標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系統範圍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系統架構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7dp8vu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軟/硬體架構及環境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3rdcrjn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一般限制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0" w:before="240" w:line="276" w:lineRule="auto"/>
            <w:ind w:left="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設計內容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lnxbz9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作業程序設計說明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5nkun2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輸入/輸出設計說明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  <w:tab w:val="left" w:leader="none" w:pos="720"/>
            </w:tabs>
            <w:spacing w:after="0" w:before="240" w:line="276" w:lineRule="auto"/>
            <w:ind w:left="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ksv4uv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設計規格回溯與版本管理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設計規格回溯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80"/>
              <w:tab w:val="right" w:leader="none" w:pos="9019"/>
            </w:tabs>
            <w:spacing w:after="0" w:before="0" w:line="276" w:lineRule="auto"/>
            <w:ind w:left="440" w:right="0" w:firstLine="0"/>
            <w:jc w:val="left"/>
            <w:rPr>
              <w:rFonts w:ascii="DFKai-SB" w:cs="DFKai-SB" w:eastAsia="DFKai-SB" w:hAnsi="DFKai-SB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版本管理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>
              <w:rFonts w:ascii="DFKai-SB" w:cs="DFKai-SB" w:eastAsia="DFKai-SB" w:hAnsi="DFKai-SB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DFKai-SB" w:cs="DFKai-SB" w:eastAsia="DFKai-SB" w:hAnsi="DFKai-SB"/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1 系統簡介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0"/>
        </w:numPr>
        <w:ind w:left="564" w:hanging="564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規格目的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　　近年來腦血管疾病導致死亡率提升，其中腦中風占比極高，腦中風分成梗塞型及出血型腦中風，而出血型又分成腦內出血及蛛膜下腔出血；造成梗塞腦中風的主要原因包括大血管動脈硬化狹窄或阻塞、小血管阻塞、及心因性血栓，造成腦內出血的主要原因為小血管破裂，造成蜘蛛膜下腔出血的主要原因為腦動脈瘤破裂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　　本系統結合電腦斷層的結果，規劃進行腦血管的偵測，提取腦血管後建構模型，經過切片處理後檢測血管之狹窄程度，搭配顯影劑變化圖，作為腦中風或壞死之風險評估輔助，以利醫護人員進行準確且有效的治療。</w:t>
      </w:r>
    </w:p>
    <w:p w:rsidR="00000000" w:rsidDel="00000000" w:rsidP="00000000" w:rsidRDefault="00000000" w:rsidRPr="00000000" w14:paraId="0000003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本文件為對於本系統之功能設計規劃，並針對功能內容進行解釋說明，使得開發人員與維護人員理解本系統的相關開發標準和規範，以及標準規範的結構內容，以便於其遵循運用。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0"/>
        </w:numPr>
        <w:ind w:left="564" w:hanging="564"/>
        <w:rPr>
          <w:rFonts w:ascii="DFKai-SB" w:cs="DFKai-SB" w:eastAsia="DFKai-SB" w:hAnsi="DFKai-SB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規格範圍說明</w:t>
      </w:r>
    </w:p>
    <w:p w:rsidR="00000000" w:rsidDel="00000000" w:rsidP="00000000" w:rsidRDefault="00000000" w:rsidRPr="00000000" w14:paraId="0000003A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本文件主要是透過建立模型的方式闡述系統設計的樣貌，藉由文字與圖表的相輔相成，在不考量技術開發層面的基礎下，針對系統的功能及性能，以及目標效果進行探討，以便在未來結合技術進行軟體開發時，能有明確的設計方向與架構，也以便在未來結合需求規格書，檢視設計與需求是否皆有完整切合。預計本文件的讀者包含:系統設計人員、專案管理人員、系統測試人員、系統開發人員、系統維護人員。</w:t>
      </w:r>
    </w:p>
    <w:p w:rsidR="00000000" w:rsidDel="00000000" w:rsidP="00000000" w:rsidRDefault="00000000" w:rsidRPr="00000000" w14:paraId="0000003B">
      <w:pPr>
        <w:pStyle w:val="Heading2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1.3 參考資料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Palágyi. K, et al.(2001).A Sequential 3D Thinning Algorithm and Its Medical Applications.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LNCS,2082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6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https://link.springer.com/chapter/10.1007/3-540-45729-1_42#Bib1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shd w:fill="faf9f8" w:val="clear"/>
          <w:rtl w:val="0"/>
        </w:rPr>
        <w:t xml:space="preserve">Tan IY,Demchuk AM,Hopyan J,et al.(2009).CT angiography clot burden score and collateral score: correlation with clinical and radiologic outcomes in acute middle cerebral artery infarct.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shd w:fill="faf9f8" w:val="clear"/>
          <w:rtl w:val="0"/>
        </w:rPr>
        <w:t xml:space="preserve">AJNR Am J Neuroradiol,30(3):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shd w:fill="faf9f8" w:val="clear"/>
          <w:rtl w:val="0"/>
        </w:rPr>
        <w:t xml:space="preserve">525-31.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Palaniappan, Mirualini&amp;Sakthi, S.M.Jai,et.al.(2015).3D Coronary Artery Reconstruction using SVM.Research Journal of Applied Sciences, Engineering and Technology,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:685-691.</w:t>
      </w:r>
    </w:p>
    <w:p w:rsidR="00000000" w:rsidDel="00000000" w:rsidP="00000000" w:rsidRDefault="00000000" w:rsidRPr="00000000" w14:paraId="00000040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7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https://www.researchgate.net/publication/287388076_3D_Coronary_Artery_Reconstruction_using_SVM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Garcia-Uceda Juarez, A., Selvan, R., Saghir, Z., de Bruijne, M.(2019). A Joint 3D UNet-Graph Neural Network-Based Method for Airway Segmentation from Chest CTs.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LNIP,11861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65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</w:t>
      </w:r>
      <w:hyperlink r:id="rId8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https://link.springer.com/chapter/10.1007/978-3-030-32692-0_67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Öman O,Mäkelä T,Salli E,et al.(2019).3D convolutional neural networks applied to CT angiography in the detection of acute ischemic stroke.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Eur Radiol Exp,3(1)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:8.</w:t>
      </w:r>
    </w:p>
    <w:p w:rsidR="00000000" w:rsidDel="00000000" w:rsidP="00000000" w:rsidRDefault="00000000" w:rsidRPr="00000000" w14:paraId="00000045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9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u w:val="single"/>
            <w:rtl w:val="0"/>
          </w:rPr>
          <w:t xml:space="preserve">https://link.springer.com/article/10.1186/s41747-019-0085-6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P. Mirunalini,C. Aravindan,et.al(2019).Segmentation of Coronary Arteries from CTA axial slices using Deep Learning techniques.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TENCON.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0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u w:val="single"/>
            <w:rtl w:val="0"/>
          </w:rPr>
          <w:t xml:space="preserve">https://ieeexplore.ieee.org/document/8929260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Yasuhiro Aoki, Hunter Goforth,et　al.(2019).PointNetLK_Robust_amp_Efficient_Point_Cloud_Registration_Using_PointNet.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CVPR.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1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https://ieeexplore.ieee.org/document/8954359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He, Jiafa &amp; Pan, Chengwei &amp; Yang, Can &amp; Zhang, Ming &amp; Wang, Yang &amp; Zhou, Xiaowei &amp; Yu, Yizhou.(2020).Learning Hybrid Representations for Automatic 3D Vessel Centerline Extraction.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10.1007/978-3-030-59725-2_3.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2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https://www.researchgate.net/publication/346069413_Learning_Hybrid_Representations_for_Automatic_3D_Vessel_Centerline_Extraction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Fasen BACM,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Heijboer RJJ,et al.(2020).CT Angiography in Evaluating Large-Vessel Occlusion in Acute Anterior Circulation Ischemic Stroke: Factors Associated with Diagnostic Error in Clinical Practice.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AJNR Am J Neuroradiol,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41(4)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:607-611.</w:t>
      </w:r>
    </w:p>
    <w:p w:rsidR="00000000" w:rsidDel="00000000" w:rsidP="00000000" w:rsidRDefault="00000000" w:rsidRPr="00000000" w14:paraId="0000004D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3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https://pubmed.ncbi.nlm.nih.gov/32165362/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Pan J,Wu G,Yu J,et al.(2021).Detecting the Early Infarct Core on Non-Contrast CT Images with a Deep Learning Residual Network.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J Stroke Cerebrovasc Dis,30(6)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:105752.</w:t>
      </w:r>
    </w:p>
    <w:p w:rsidR="00000000" w:rsidDel="00000000" w:rsidP="00000000" w:rsidRDefault="00000000" w:rsidRPr="00000000" w14:paraId="0000004F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4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u w:val="single"/>
            <w:rtl w:val="0"/>
          </w:rPr>
          <w:t xml:space="preserve">https://www.strokejournal.org/article/S1052-3057(21)00155-5/fulltext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Soun J,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Chow 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Nagamine M,et al.(2021).Artificial Intelligence and Acute Stroke Imaging.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AJNR Am J Neuroradiol,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42(1)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:2–11.</w:t>
      </w:r>
    </w:p>
    <w:p w:rsidR="00000000" w:rsidDel="00000000" w:rsidP="00000000" w:rsidRDefault="00000000" w:rsidRPr="00000000" w14:paraId="00000051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5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https://www.ncbi.nlm.nih.gov/pmc/articles/PMC7814792/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Mansour, R.F., Aljehane, N.O.(2021).An optimal segmentation with deep learning based inception network model for intracranial hemorrhage diagnosis.Neural Comput &amp; Applic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33,13831–13843.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25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Luo X,Wang J,Liang X,et al.(2022).Prediction of cerebral aneurysm rupture using a point cloud neural network.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J NeuroIntervent Surg,0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:1–8.</w:t>
      </w:r>
    </w:p>
    <w:p w:rsidR="00000000" w:rsidDel="00000000" w:rsidP="00000000" w:rsidRDefault="00000000" w:rsidRPr="00000000" w14:paraId="00000055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6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u w:val="single"/>
            <w:rtl w:val="0"/>
          </w:rPr>
          <w:t xml:space="preserve">https://jnis.bmj.com/content/early/2022/04/08/neurintsurg-2022-018655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Nguyen TN,Abdalkader M,et al.(2022).</w:t>
      </w:r>
      <w:r w:rsidDel="00000000" w:rsidR="00000000" w:rsidRPr="00000000">
        <w:rPr>
          <w:rFonts w:ascii="DFKai-SB" w:cs="DFKai-SB" w:eastAsia="DFKai-SB" w:hAnsi="DFKai-SB"/>
          <w:color w:val="212121"/>
          <w:sz w:val="24"/>
          <w:szCs w:val="24"/>
          <w:rtl w:val="0"/>
        </w:rPr>
        <w:t xml:space="preserve">Noncontrast Computed Tomography vs Computed Tomography Perfusion or Magnetic Resonance Imaging Selection in Late Presentation of Stroke With Large-Vessel Occlusion.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highlight w:val="white"/>
          <w:rtl w:val="0"/>
        </w:rPr>
        <w:t xml:space="preserve">JAMA Neurol,79(1)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:93.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425" w:firstLine="0"/>
        <w:rPr>
          <w:rFonts w:ascii="DFKai-SB" w:cs="DFKai-SB" w:eastAsia="DFKai-SB" w:hAnsi="DFKai-SB"/>
          <w:color w:val="212121"/>
          <w:sz w:val="24"/>
          <w:szCs w:val="24"/>
        </w:rPr>
      </w:pPr>
      <w:hyperlink r:id="rId17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u w:val="single"/>
            <w:rtl w:val="0"/>
          </w:rPr>
          <w:t xml:space="preserve">https://jamanetwork.com/journals/jamaneurology/fullarticle/2785854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425" w:hanging="36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Wei YC,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Huang WY,et al.(2022).Semantic segmentation guided detector for segmentation, classification, and lesion mapping of acute ischemic stroke in MRI images.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Neuroimage Clin,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i w:val="1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:103044.</w:t>
      </w:r>
    </w:p>
    <w:p w:rsidR="00000000" w:rsidDel="00000000" w:rsidP="00000000" w:rsidRDefault="00000000" w:rsidRPr="00000000" w14:paraId="00000059">
      <w:pPr>
        <w:ind w:left="425" w:firstLine="0"/>
        <w:rPr>
          <w:rFonts w:ascii="DFKai-SB" w:cs="DFKai-SB" w:eastAsia="DFKai-SB" w:hAnsi="DFKai-SB"/>
          <w:sz w:val="24"/>
          <w:szCs w:val="24"/>
        </w:rPr>
      </w:pPr>
      <w:hyperlink r:id="rId18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u w:val="single"/>
            <w:rtl w:val="0"/>
          </w:rPr>
          <w:t xml:space="preserve">https://pubmed.ncbi.nlm.nih.gov/35597030/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DFKai-SB" w:cs="DFKai-SB" w:eastAsia="DFKai-SB" w:hAnsi="DFKai-SB"/>
          <w:b w:val="1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2 系統概述</w:t>
      </w:r>
    </w:p>
    <w:p w:rsidR="00000000" w:rsidDel="00000000" w:rsidP="00000000" w:rsidRDefault="00000000" w:rsidRPr="00000000" w14:paraId="0000005B">
      <w:pPr>
        <w:pStyle w:val="Heading2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2.1 系統目標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本系統的整體設計目標如下：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透過腦血管的立體模型，經過切片處理，檢測血管的異常及阻塞位置，並標示於模型中，以加快醫護人員確認手術位置。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透過腦血管的立體模型，根據血管路徑做彎曲程度分析，有效輔助醫護人員規劃手術策略。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2.2 系統範圍</w:t>
      </w:r>
    </w:p>
    <w:p w:rsidR="00000000" w:rsidDel="00000000" w:rsidP="00000000" w:rsidRDefault="00000000" w:rsidRPr="00000000" w14:paraId="0000006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本系統主要提供醫護人員，評估病患大血管（如：大腦前動脈(ACA)、大腦中動脈 (MCA)、內頸動脈(ICA)）阻塞的情況，輔助醫護人員快速找出病患腦部血管阻塞位置，並結合彎曲程度數據，及時制定出適合病患的手術策略，做最適當的治療。</w:t>
      </w:r>
    </w:p>
    <w:p w:rsidR="00000000" w:rsidDel="00000000" w:rsidP="00000000" w:rsidRDefault="00000000" w:rsidRPr="00000000" w14:paraId="00000061">
      <w:pPr>
        <w:pStyle w:val="Heading2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2.3 系統架構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" w:right="0" w:hanging="56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腦血管模型：匯入病患之腦部CT圖，提供系統透過顯影劑所顯現的血管部分，進行立體腦血管模型的建構。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" w:right="0" w:hanging="56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阻塞位置：為找尋手術取血栓的位置，經由腦血管模型切片，檢測血管阻塞區段，並標示於腦血管模型中。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" w:right="0" w:hanging="56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彎曲程度：為規劃適合病患之手術策略，透過腦血管模型路徑，檢測彎曲角度、彎曲次數等，整合彎曲程度評估數據。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9"/>
        </w:numPr>
        <w:ind w:left="456" w:hanging="456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 軟/硬體架構及環境</w:t>
      </w:r>
    </w:p>
    <w:p w:rsidR="00000000" w:rsidDel="00000000" w:rsidP="00000000" w:rsidRDefault="00000000" w:rsidRPr="00000000" w14:paraId="00000066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本系統提供使用者端之服務，提供系統使用者操作之平台。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hanging="480"/>
        <w:rPr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開發工具與環境</w:t>
      </w:r>
    </w:p>
    <w:tbl>
      <w:tblPr>
        <w:tblStyle w:val="Table1"/>
        <w:tblW w:w="7796.0" w:type="dxa"/>
        <w:jc w:val="left"/>
        <w:tblInd w:w="416.0" w:type="dxa"/>
        <w:tblLayout w:type="fixed"/>
        <w:tblLook w:val="0400"/>
      </w:tblPr>
      <w:tblGrid>
        <w:gridCol w:w="2693"/>
        <w:gridCol w:w="5103"/>
        <w:tblGridChange w:id="0">
          <w:tblGrid>
            <w:gridCol w:w="2693"/>
            <w:gridCol w:w="510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sz w:val="24"/>
                <w:szCs w:val="24"/>
                <w:rtl w:val="0"/>
              </w:rPr>
              <w:t xml:space="preserve">項目名稱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sz w:val="24"/>
                <w:szCs w:val="24"/>
                <w:rtl w:val="0"/>
              </w:rPr>
              <w:t xml:space="preserve">用途簡述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匯入資料進行檔案類型轉換等前置處理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彙整模型切片並檢測阻塞位置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720" w:hanging="360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尋訪血管路徑並觀測彎曲程度</w:t>
            </w:r>
          </w:p>
        </w:tc>
      </w:tr>
      <w:tr>
        <w:trPr>
          <w:cantSplit w:val="0"/>
          <w:trHeight w:val="1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Cloud Compare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呈現血管三維點雲模型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ITK-snap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三維圖像分割與描繪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Clinical trial 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將病患影像進行去識別化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80" w:hanging="480"/>
        <w:rPr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系統運行硬體環境</w:t>
      </w:r>
    </w:p>
    <w:tbl>
      <w:tblPr>
        <w:tblStyle w:val="Table2"/>
        <w:tblW w:w="6237.0" w:type="dxa"/>
        <w:jc w:val="left"/>
        <w:tblInd w:w="416.0" w:type="dxa"/>
        <w:tblLayout w:type="fixed"/>
        <w:tblLook w:val="0400"/>
      </w:tblPr>
      <w:tblGrid>
        <w:gridCol w:w="2551"/>
        <w:gridCol w:w="3686"/>
        <w:tblGridChange w:id="0">
          <w:tblGrid>
            <w:gridCol w:w="2551"/>
            <w:gridCol w:w="3686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sz w:val="24"/>
                <w:szCs w:val="24"/>
                <w:rtl w:val="0"/>
              </w:rPr>
              <w:t xml:space="preserve">項目名稱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  <w:sz w:val="24"/>
                <w:szCs w:val="24"/>
                <w:rtl w:val="0"/>
              </w:rPr>
              <w:t xml:space="preserve">規格簡述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處理器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Intel® Core™ i7 處理器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作業系統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Windows 10以上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記憶體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8.00GB以上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顯示卡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DFKai-SB" w:cs="DFKai-SB" w:eastAsia="DFKai-SB" w:hAnsi="DFKai-SB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24"/>
                <w:szCs w:val="24"/>
                <w:rtl w:val="0"/>
              </w:rPr>
              <w:t xml:space="preserve">NVIDIA GeForce RTX版本以上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80" w:hanging="480"/>
        <w:rPr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系統運行軟體環境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本系統建置環境需建置於Microsoft Windows 11之系統。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9"/>
        </w:numPr>
        <w:ind w:left="456" w:hanging="456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DFKai-SB" w:cs="DFKai-SB" w:eastAsia="DFKai-SB" w:hAnsi="DFKai-SB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一般限制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需匯入有打顯影劑的CT檢測資料，以檢測血管位置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在系統檢測前務必經過匿名化處理，以確保病患的個人資料受到保障</w:t>
      </w:r>
    </w:p>
    <w:p w:rsidR="00000000" w:rsidDel="00000000" w:rsidP="00000000" w:rsidRDefault="00000000" w:rsidRPr="00000000" w14:paraId="00000087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rFonts w:ascii="DFKai-SB" w:cs="DFKai-SB" w:eastAsia="DFKai-SB" w:hAnsi="DFKai-SB"/>
          <w:b w:val="1"/>
          <w:sz w:val="32"/>
          <w:szCs w:val="32"/>
        </w:rPr>
      </w:pPr>
      <w:bookmarkStart w:colFirst="0" w:colLast="0" w:name="_26in1rg" w:id="12"/>
      <w:bookmarkEnd w:id="12"/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3 設計內容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2"/>
        </w:numPr>
        <w:ind w:left="564" w:hanging="564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作業程序設計說明</w:t>
      </w:r>
    </w:p>
    <w:p w:rsidR="00000000" w:rsidDel="00000000" w:rsidP="00000000" w:rsidRDefault="00000000" w:rsidRPr="00000000" w14:paraId="0000008C">
      <w:pPr>
        <w:ind w:left="564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本系統的作業程序由活動圖為主，循序圖為輔搭配表示：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55156" cy="7515224"/>
            <wp:effectExtent b="0" l="0" r="0" t="0"/>
            <wp:docPr descr="一張含有 文字, 寫生, 圖表, 圖畫 的圖片&#10;&#10;自動產生的描述" id="1" name="image2.png"/>
            <a:graphic>
              <a:graphicData uri="http://schemas.openxmlformats.org/drawingml/2006/picture">
                <pic:pic>
                  <pic:nvPicPr>
                    <pic:cNvPr descr="一張含有 文字, 寫生, 圖表, 圖畫 的圖片&#10;&#10;自動產生的描述" id="0" name="image2.png"/>
                    <pic:cNvPicPr preferRelativeResize="0"/>
                  </pic:nvPicPr>
                  <pic:blipFill>
                    <a:blip r:embed="rId19"/>
                    <a:srcRect b="0" l="104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156" cy="751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圖1：活動圖</w:t>
      </w:r>
    </w:p>
    <w:p w:rsidR="00000000" w:rsidDel="00000000" w:rsidP="00000000" w:rsidRDefault="00000000" w:rsidRPr="00000000" w14:paraId="0000008F">
      <w:pPr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0" distT="0" distL="0" distR="0">
            <wp:extent cx="4601783" cy="43110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783" cy="4311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圖2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：循序圖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2"/>
        </w:numPr>
        <w:ind w:left="564" w:hanging="564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輸入/輸出設計說明</w:t>
      </w:r>
    </w:p>
    <w:p w:rsidR="00000000" w:rsidDel="00000000" w:rsidP="00000000" w:rsidRDefault="00000000" w:rsidRPr="00000000" w14:paraId="00000093">
      <w:pPr>
        <w:ind w:firstLine="48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本系統的輸入與輸出由使用案例圖表示說明：</w:t>
      </w:r>
    </w:p>
    <w:p w:rsidR="00000000" w:rsidDel="00000000" w:rsidP="00000000" w:rsidRDefault="00000000" w:rsidRPr="00000000" w14:paraId="00000094">
      <w:pPr>
        <w:jc w:val="center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</w:rPr>
        <w:drawing>
          <wp:inline distB="0" distT="0" distL="0" distR="0">
            <wp:extent cx="5276215" cy="29254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2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圖3：使用案例圖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輸入：使用者輸入將有打顯影劑的CT圖匯入系統，檔案類型應為醫學文件NIfTI或是DICOM。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hanging="48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輸出：系統經檢測處理之後，回傳以下資料：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具阻塞位置標記且劃分區域（如：大腦前動脈(ACA)、大腦中動脈 (MCA)、內頸動脈(ICA)）之立體血管點雲模型。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8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血管彎曲程度數據，包含彎曲次數、彎曲角度等。</w:t>
      </w:r>
    </w:p>
    <w:p w:rsidR="00000000" w:rsidDel="00000000" w:rsidP="00000000" w:rsidRDefault="00000000" w:rsidRPr="00000000" w14:paraId="0000009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3"/>
        </w:numPr>
        <w:ind w:left="360" w:hanging="360"/>
        <w:rPr>
          <w:rFonts w:ascii="DFKai-SB" w:cs="DFKai-SB" w:eastAsia="DFKai-SB" w:hAnsi="DFKai-SB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設計規格回溯與版本管理</w:t>
      </w:r>
    </w:p>
    <w:p w:rsidR="00000000" w:rsidDel="00000000" w:rsidP="00000000" w:rsidRDefault="00000000" w:rsidRPr="00000000" w14:paraId="0000009C">
      <w:pPr>
        <w:pStyle w:val="Heading2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DFKai-SB" w:cs="DFKai-SB" w:eastAsia="DFKai-SB" w:hAnsi="DFKai-SB"/>
          <w:b w:val="1"/>
          <w:color w:val="000000"/>
          <w:sz w:val="28"/>
          <w:szCs w:val="28"/>
          <w:rtl w:val="0"/>
        </w:rPr>
        <w:t xml:space="preserve">4.1 </w:t>
      </w: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設計規格回溯</w:t>
      </w:r>
    </w:p>
    <w:p w:rsidR="00000000" w:rsidDel="00000000" w:rsidP="00000000" w:rsidRDefault="00000000" w:rsidRPr="00000000" w14:paraId="0000009D">
      <w:pPr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以下功能回溯圖為幫助日後方便撰寫相關文件架構：</w:t>
      </w:r>
    </w:p>
    <w:p w:rsidR="00000000" w:rsidDel="00000000" w:rsidP="00000000" w:rsidRDefault="00000000" w:rsidRPr="00000000" w14:paraId="0000009E">
      <w:pPr>
        <w:jc w:val="center"/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0"/>
          <w:szCs w:val="20"/>
        </w:rPr>
        <w:drawing>
          <wp:inline distB="0" distT="0" distL="0" distR="0">
            <wp:extent cx="5276215" cy="1860550"/>
            <wp:effectExtent b="0" l="0" r="0" t="0"/>
            <wp:docPr descr="一張含有 文字, 螢幕擷取畫面, 字型, Rectangle 的圖片&#10;&#10;自動產生的描述" id="4" name="image1.png"/>
            <a:graphic>
              <a:graphicData uri="http://schemas.openxmlformats.org/drawingml/2006/picture">
                <pic:pic>
                  <pic:nvPicPr>
                    <pic:cNvPr descr="一張含有 文字, 螢幕擷取畫面, 字型, Rectangle 的圖片&#10;&#10;自動產生的描述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圖4：系統功能回溯圖</w:t>
      </w:r>
    </w:p>
    <w:p w:rsidR="00000000" w:rsidDel="00000000" w:rsidP="00000000" w:rsidRDefault="00000000" w:rsidRPr="00000000" w14:paraId="000000A0">
      <w:pPr>
        <w:pStyle w:val="Heading2"/>
        <w:rPr>
          <w:rFonts w:ascii="DFKai-SB" w:cs="DFKai-SB" w:eastAsia="DFKai-SB" w:hAnsi="DFKai-SB"/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4.2 版本管理</w:t>
      </w:r>
    </w:p>
    <w:p w:rsidR="00000000" w:rsidDel="00000000" w:rsidP="00000000" w:rsidRDefault="00000000" w:rsidRPr="00000000" w14:paraId="000000A1">
      <w:pPr>
        <w:spacing w:after="200" w:before="20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　　針對每次的討論後彙整他人之意見，檢視自身評估及需求分析之欠缺及改良後，用此表紀錄修改部分，以便於未來能更加方便確認系統各方面是否到位。</w:t>
      </w:r>
    </w:p>
    <w:tbl>
      <w:tblPr>
        <w:tblStyle w:val="Table3"/>
        <w:tblW w:w="8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8"/>
        <w:gridCol w:w="3467"/>
        <w:gridCol w:w="3479"/>
        <w:tblGridChange w:id="0">
          <w:tblGrid>
            <w:gridCol w:w="1408"/>
            <w:gridCol w:w="3467"/>
            <w:gridCol w:w="34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版本號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修改部分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4"/>
                <w:szCs w:val="24"/>
                <w:rtl w:val="0"/>
              </w:rPr>
              <w:t xml:space="preserve">修改內容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全文件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進行系統初步設計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全文件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功能整理並增加說明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6834" w:w="11909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PMingLiu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center"/>
      <w:rPr>
        <w:rFonts w:ascii="DFKai-SB" w:cs="DFKai-SB" w:eastAsia="DFKai-SB" w:hAnsi="DFKai-SB"/>
        <w:sz w:val="26"/>
        <w:szCs w:val="26"/>
      </w:rPr>
    </w:pPr>
    <w:r w:rsidDel="00000000" w:rsidR="00000000" w:rsidRPr="00000000">
      <w:rPr>
        <w:rFonts w:ascii="DFKai-SB" w:cs="DFKai-SB" w:eastAsia="DFKai-SB" w:hAnsi="DFKai-SB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DFKai-SB" w:cs="DFKai-SB" w:eastAsia="DFKai-SB" w:hAnsi="DFKai-SB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564" w:hanging="564"/>
      </w:pPr>
      <w:rPr>
        <w:rFonts w:ascii="DFKai-SB" w:cs="DFKai-SB" w:eastAsia="DFKai-SB" w:hAnsi="DFKai-SB"/>
      </w:rPr>
    </w:lvl>
    <w:lvl w:ilvl="1">
      <w:start w:val="1"/>
      <w:numFmt w:val="decimal"/>
      <w:lvlText w:val="%1.%2"/>
      <w:lvlJc w:val="left"/>
      <w:pPr>
        <w:ind w:left="564" w:hanging="564"/>
      </w:pPr>
      <w:rPr/>
    </w:lvl>
    <w:lvl w:ilvl="2">
      <w:start w:val="1"/>
      <w:numFmt w:val="decimal"/>
      <w:lvlText w:val="%1.%2.%3"/>
      <w:lvlJc w:val="left"/>
      <w:pPr>
        <w:ind w:left="564" w:hanging="564"/>
      </w:pPr>
      <w:rPr/>
    </w:lvl>
    <w:lvl w:ilvl="3">
      <w:start w:val="1"/>
      <w:numFmt w:val="decimal"/>
      <w:lvlText w:val="%1.%2.%3.%4"/>
      <w:lvlJc w:val="left"/>
      <w:pPr>
        <w:ind w:left="564" w:hanging="564"/>
      </w:pPr>
      <w:rPr/>
    </w:lvl>
    <w:lvl w:ilvl="4">
      <w:start w:val="1"/>
      <w:numFmt w:val="decimal"/>
      <w:lvlText w:val="%1.%2.%3.%4.%5"/>
      <w:lvlJc w:val="left"/>
      <w:pPr>
        <w:ind w:left="564" w:hanging="564"/>
      </w:pPr>
      <w:rPr/>
    </w:lvl>
    <w:lvl w:ilvl="5">
      <w:start w:val="1"/>
      <w:numFmt w:val="decimal"/>
      <w:lvlText w:val="%1.%2.%3.%4.%5.%6"/>
      <w:lvlJc w:val="left"/>
      <w:pPr>
        <w:ind w:left="564" w:hanging="564"/>
      </w:pPr>
      <w:rPr/>
    </w:lvl>
    <w:lvl w:ilvl="6">
      <w:start w:val="1"/>
      <w:numFmt w:val="decimal"/>
      <w:lvlText w:val="%1.%2.%3.%4.%5.%6.%7"/>
      <w:lvlJc w:val="left"/>
      <w:pPr>
        <w:ind w:left="564" w:hanging="564"/>
      </w:pPr>
      <w:rPr/>
    </w:lvl>
    <w:lvl w:ilvl="7">
      <w:start w:val="1"/>
      <w:numFmt w:val="decimal"/>
      <w:lvlText w:val="%1.%2.%3.%4.%5.%6.%7.%8"/>
      <w:lvlJc w:val="left"/>
      <w:pPr>
        <w:ind w:left="564" w:hanging="564"/>
      </w:pPr>
      <w:rPr/>
    </w:lvl>
    <w:lvl w:ilvl="8">
      <w:start w:val="1"/>
      <w:numFmt w:val="decimal"/>
      <w:lvlText w:val="%1.%2.%3.%4.%5.%6.%7.%8.%9"/>
      <w:lvlJc w:val="left"/>
      <w:pPr>
        <w:ind w:left="564" w:hanging="564"/>
      </w:pPr>
      <w:rPr/>
    </w:lvl>
  </w:abstractNum>
  <w:abstractNum w:abstractNumId="3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[%1] "/>
      <w:lvlJc w:val="left"/>
      <w:pPr>
        <w:ind w:left="1735" w:hanging="360"/>
      </w:pPr>
      <w:rPr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245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1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89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1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5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77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495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840" w:hanging="480"/>
      </w:pPr>
      <w:rPr>
        <w:rFonts w:ascii="DFKai-SB" w:cs="DFKai-SB" w:eastAsia="DFKai-SB" w:hAnsi="DFKai-SB"/>
      </w:rPr>
    </w:lvl>
    <w:lvl w:ilvl="1">
      <w:start w:val="1"/>
      <w:numFmt w:val="decimal"/>
      <w:lvlText w:val="%2、"/>
      <w:lvlJc w:val="left"/>
      <w:pPr>
        <w:ind w:left="1320" w:hanging="480"/>
      </w:pPr>
      <w:rPr/>
    </w:lvl>
    <w:lvl w:ilvl="2">
      <w:start w:val="1"/>
      <w:numFmt w:val="lowerRoman"/>
      <w:lvlText w:val="%3."/>
      <w:lvlJc w:val="right"/>
      <w:pPr>
        <w:ind w:left="1800" w:hanging="480"/>
      </w:pPr>
      <w:rPr/>
    </w:lvl>
    <w:lvl w:ilvl="3">
      <w:start w:val="1"/>
      <w:numFmt w:val="decimal"/>
      <w:lvlText w:val="%4."/>
      <w:lvlJc w:val="left"/>
      <w:pPr>
        <w:ind w:left="2280" w:hanging="480"/>
      </w:pPr>
      <w:rPr/>
    </w:lvl>
    <w:lvl w:ilvl="4">
      <w:start w:val="1"/>
      <w:numFmt w:val="decimal"/>
      <w:lvlText w:val="%5、"/>
      <w:lvlJc w:val="left"/>
      <w:pPr>
        <w:ind w:left="2760" w:hanging="480"/>
      </w:pPr>
      <w:rPr/>
    </w:lvl>
    <w:lvl w:ilvl="5">
      <w:start w:val="1"/>
      <w:numFmt w:val="lowerRoman"/>
      <w:lvlText w:val="%6."/>
      <w:lvlJc w:val="right"/>
      <w:pPr>
        <w:ind w:left="3240" w:hanging="480"/>
      </w:pPr>
      <w:rPr/>
    </w:lvl>
    <w:lvl w:ilvl="6">
      <w:start w:val="1"/>
      <w:numFmt w:val="decimal"/>
      <w:lvlText w:val="%7."/>
      <w:lvlJc w:val="left"/>
      <w:pPr>
        <w:ind w:left="3720" w:hanging="480"/>
      </w:pPr>
      <w:rPr/>
    </w:lvl>
    <w:lvl w:ilvl="7">
      <w:start w:val="1"/>
      <w:numFmt w:val="decimal"/>
      <w:lvlText w:val="%8、"/>
      <w:lvlJc w:val="left"/>
      <w:pPr>
        <w:ind w:left="4200" w:hanging="480"/>
      </w:pPr>
      <w:rPr/>
    </w:lvl>
    <w:lvl w:ilvl="8">
      <w:start w:val="1"/>
      <w:numFmt w:val="lowerRoman"/>
      <w:lvlText w:val="%9."/>
      <w:lvlJc w:val="right"/>
      <w:pPr>
        <w:ind w:left="4680" w:hanging="4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9">
    <w:lvl w:ilvl="0">
      <w:start w:val="2"/>
      <w:numFmt w:val="decimal"/>
      <w:lvlText w:val="%1"/>
      <w:lvlJc w:val="left"/>
      <w:pPr>
        <w:ind w:left="456" w:hanging="456"/>
      </w:pPr>
      <w:rPr/>
    </w:lvl>
    <w:lvl w:ilvl="1">
      <w:start w:val="4"/>
      <w:numFmt w:val="decimal"/>
      <w:lvlText w:val="%1.%2"/>
      <w:lvlJc w:val="left"/>
      <w:pPr>
        <w:ind w:left="456" w:hanging="45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564" w:hanging="564"/>
      </w:pPr>
      <w:rPr/>
    </w:lvl>
    <w:lvl w:ilvl="1">
      <w:start w:val="1"/>
      <w:numFmt w:val="decimal"/>
      <w:lvlText w:val="%1.%2"/>
      <w:lvlJc w:val="left"/>
      <w:pPr>
        <w:ind w:left="564" w:hanging="564"/>
      </w:pPr>
      <w:rPr/>
    </w:lvl>
    <w:lvl w:ilvl="2">
      <w:start w:val="1"/>
      <w:numFmt w:val="decimal"/>
      <w:lvlText w:val="%1.%2.%3"/>
      <w:lvlJc w:val="left"/>
      <w:pPr>
        <w:ind w:left="564" w:hanging="564"/>
      </w:pPr>
      <w:rPr/>
    </w:lvl>
    <w:lvl w:ilvl="3">
      <w:start w:val="1"/>
      <w:numFmt w:val="decimal"/>
      <w:lvlText w:val="%1.%2.%3.%4"/>
      <w:lvlJc w:val="left"/>
      <w:pPr>
        <w:ind w:left="564" w:hanging="564"/>
      </w:pPr>
      <w:rPr/>
    </w:lvl>
    <w:lvl w:ilvl="4">
      <w:start w:val="1"/>
      <w:numFmt w:val="decimal"/>
      <w:lvlText w:val="%1.%2.%3.%4.%5"/>
      <w:lvlJc w:val="left"/>
      <w:pPr>
        <w:ind w:left="564" w:hanging="564"/>
      </w:pPr>
      <w:rPr/>
    </w:lvl>
    <w:lvl w:ilvl="5">
      <w:start w:val="1"/>
      <w:numFmt w:val="decimal"/>
      <w:lvlText w:val="%1.%2.%3.%4.%5.%6"/>
      <w:lvlJc w:val="left"/>
      <w:pPr>
        <w:ind w:left="564" w:hanging="564"/>
      </w:pPr>
      <w:rPr/>
    </w:lvl>
    <w:lvl w:ilvl="6">
      <w:start w:val="1"/>
      <w:numFmt w:val="decimal"/>
      <w:lvlText w:val="%1.%2.%3.%4.%5.%6.%7"/>
      <w:lvlJc w:val="left"/>
      <w:pPr>
        <w:ind w:left="564" w:hanging="564"/>
      </w:pPr>
      <w:rPr/>
    </w:lvl>
    <w:lvl w:ilvl="7">
      <w:start w:val="1"/>
      <w:numFmt w:val="decimal"/>
      <w:lvlText w:val="%1.%2.%3.%4.%5.%6.%7.%8"/>
      <w:lvlJc w:val="left"/>
      <w:pPr>
        <w:ind w:left="564" w:hanging="564"/>
      </w:pPr>
      <w:rPr/>
    </w:lvl>
    <w:lvl w:ilvl="8">
      <w:start w:val="1"/>
      <w:numFmt w:val="decimal"/>
      <w:lvlText w:val="%1.%2.%3.%4.%5.%6.%7.%8.%9"/>
      <w:lvlJc w:val="left"/>
      <w:pPr>
        <w:ind w:left="564" w:hanging="56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ieeexplore.ieee.org/document/8954359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ieeexplore.ieee.org/document/8929260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pubmed.ncbi.nlm.nih.gov/32165362/" TargetMode="External"/><Relationship Id="rId12" Type="http://schemas.openxmlformats.org/officeDocument/2006/relationships/hyperlink" Target="https://www.researchgate.net/publication/346069413_Learning_Hybrid_Representations_for_Automatic_3D_Vessel_Centerline_Extraction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.springer.com/article/10.1186/s41747-019-0085-6" TargetMode="External"/><Relationship Id="rId15" Type="http://schemas.openxmlformats.org/officeDocument/2006/relationships/hyperlink" Target="https://www.ncbi.nlm.nih.gov/pmc/articles/PMC7814792/" TargetMode="External"/><Relationship Id="rId14" Type="http://schemas.openxmlformats.org/officeDocument/2006/relationships/hyperlink" Target="https://www.strokejournal.org/article/S1052-3057(21)00155-5/fulltext" TargetMode="External"/><Relationship Id="rId17" Type="http://schemas.openxmlformats.org/officeDocument/2006/relationships/hyperlink" Target="https://jamanetwork.com/journals/jamaneurology/fullarticle/2785854" TargetMode="External"/><Relationship Id="rId16" Type="http://schemas.openxmlformats.org/officeDocument/2006/relationships/hyperlink" Target="https://jnis.bmj.com/content/early/2022/04/08/neurintsurg-2022-018655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link.springer.com/chapter/10.1007/3-540-45729-1_42#Bib1" TargetMode="External"/><Relationship Id="rId18" Type="http://schemas.openxmlformats.org/officeDocument/2006/relationships/hyperlink" Target="https://pubmed.ncbi.nlm.nih.gov/35597030/" TargetMode="External"/><Relationship Id="rId7" Type="http://schemas.openxmlformats.org/officeDocument/2006/relationships/hyperlink" Target="https://www.researchgate.net/publication/287388076_3D_Coronary_Artery_Reconstruction_using_SVM" TargetMode="External"/><Relationship Id="rId8" Type="http://schemas.openxmlformats.org/officeDocument/2006/relationships/hyperlink" Target="https://link.springer.com/chapter/10.1007/978-3-030-32692-0_6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