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erif 4" w:hAnsi="Source Serif 4"/>
          <w:b/>
          <w:sz w:val="36"/>
        </w:rPr>
        <w:t>PROFESSIONAL SERVICE CONTRACT</w:t>
      </w:r>
    </w:p>
    <w:p>
      <w:pPr>
        <w:pStyle w:val="ListNumber"/>
      </w:pPr>
      <w:r>
        <w:rPr>
          <w:rFonts w:ascii="Source Serif 4" w:hAnsi="Source Serif 4"/>
          <w:sz w:val="21"/>
        </w:rPr>
        <w:t>THE PARTIES. This Service Contract (the "Agreement") made on August 1, 2026 (the "Effective Date") is by and between:</w:t>
      </w:r>
    </w:p>
    <w:p>
      <w:pPr>
        <w:spacing w:after="80"/>
      </w:pPr>
      <w:r>
        <w:rPr>
          <w:rFonts w:ascii="Source Serif 4" w:hAnsi="Source Serif 4"/>
          <w:sz w:val="21"/>
        </w:rPr>
        <w:t>Service Provider: Justine P. Lupasi, with a mailing address in the Philippines and notice email justinedevs@jstn.site (the "Service Provider"), and</w:t>
      </w:r>
    </w:p>
    <w:p>
      <w:pPr>
        <w:spacing w:after="80"/>
      </w:pPr>
      <w:r>
        <w:rPr>
          <w:rFonts w:ascii="Source Serif 4" w:hAnsi="Source Serif 4"/>
          <w:sz w:val="21"/>
        </w:rPr>
        <w:t>Client: Joevanni P. Lupasi, with a mailing address in the Philippines and contact number 0906 389 7581 (the "Client").</w:t>
      </w:r>
    </w:p>
    <w:p>
      <w:pPr>
        <w:spacing w:after="80"/>
      </w:pPr>
      <w:r>
        <w:rPr>
          <w:rFonts w:ascii="Source Serif 4" w:hAnsi="Source Serif 4"/>
          <w:sz w:val="21"/>
        </w:rPr>
        <w:t>The Service Provider and the Client are each referred to as a "Party" and, collectively, as the "Parties."</w:t>
      </w:r>
    </w:p>
    <w:p>
      <w:pPr>
        <w:spacing w:after="80"/>
      </w:pPr>
      <w:r>
        <w:rPr>
          <w:rFonts w:ascii="Source Serif 4" w:hAnsi="Source Serif 4"/>
          <w:sz w:val="21"/>
        </w:rPr>
        <w:t>IN CONSIDERATION of the provisions contained in this Agreement and for other good and valuable consideration, the Client hires the Service Provider to work under the terms and conditions hereby agreed upon by the Parties.</w:t>
      </w:r>
    </w:p>
    <w:p>
      <w:pPr>
        <w:pStyle w:val="ListNumber"/>
      </w:pPr>
      <w:r>
        <w:rPr>
          <w:rFonts w:ascii="Source Serif 4" w:hAnsi="Source Serif 4"/>
          <w:sz w:val="21"/>
        </w:rPr>
        <w:t>TERM. The term of this Agreement shall commence on August 1, 2026 and terminate upon completion of the Services performed, unless earlier terminated in accordance with this Agreement.</w:t>
      </w:r>
    </w:p>
    <w:p>
      <w:pPr>
        <w:pStyle w:val="ListNumber"/>
      </w:pPr>
      <w:r>
        <w:rPr>
          <w:rFonts w:ascii="Source Serif 4" w:hAnsi="Source Serif 4"/>
          <w:sz w:val="21"/>
        </w:rPr>
        <w:t>SERVICES. The Service Provider agrees to provide the following:</w:t>
      </w:r>
    </w:p>
    <w:p>
      <w:pPr>
        <w:pStyle w:val="ListBullet"/>
      </w:pPr>
      <w:r>
        <w:rPr>
          <w:rFonts w:ascii="Source Serif 4" w:hAnsi="Source Serif 4"/>
          <w:sz w:val="21"/>
        </w:rPr>
        <w:t>Design, development, stabilization, and handoff of the Universal Music Store e-commerce platform</w:t>
      </w:r>
    </w:p>
    <w:p>
      <w:pPr>
        <w:pStyle w:val="ListBullet"/>
      </w:pPr>
      <w:r>
        <w:rPr>
          <w:rFonts w:ascii="Source Serif 4" w:hAnsi="Source Serif 4"/>
          <w:sz w:val="21"/>
        </w:rPr>
        <w:t>Public storefront pages, product browsing, checkout, account, order, and support flows</w:t>
      </w:r>
    </w:p>
    <w:p>
      <w:pPr>
        <w:pStyle w:val="ListBullet"/>
      </w:pPr>
      <w:r>
        <w:rPr>
          <w:rFonts w:ascii="Source Serif 4" w:hAnsi="Source Serif 4"/>
          <w:sz w:val="21"/>
        </w:rPr>
        <w:t>Internal admin pages for catalog, inventory, orders, CMS, POS, settings, CRM, analytics, finance, and workflow operations</w:t>
      </w:r>
    </w:p>
    <w:p>
      <w:pPr>
        <w:pStyle w:val="ListBullet"/>
      </w:pPr>
      <w:r>
        <w:rPr>
          <w:rFonts w:ascii="Source Serif 4" w:hAnsi="Source Serif 4"/>
          <w:sz w:val="21"/>
        </w:rPr>
        <w:t>Medusa 2.x backend configuration for catalog, checkout, payments, orders, inventory, and fulfillment</w:t>
      </w:r>
    </w:p>
    <w:p>
      <w:pPr>
        <w:pStyle w:val="ListBullet"/>
      </w:pPr>
      <w:r>
        <w:rPr>
          <w:rFonts w:ascii="Source Serif 4" w:hAnsi="Source Serif 4"/>
          <w:sz w:val="21"/>
        </w:rPr>
        <w:t>Minimal Express sidecar API for health, compliance, and internal support routes</w:t>
      </w:r>
    </w:p>
    <w:p>
      <w:pPr>
        <w:pStyle w:val="ListBullet"/>
      </w:pPr>
      <w:r>
        <w:rPr>
          <w:rFonts w:ascii="Source Serif 4" w:hAnsi="Source Serif 4"/>
          <w:sz w:val="21"/>
        </w:rPr>
        <w:t>Shared workspace packages for types, validation, SDK helpers, UI primitives, rate limits, printer logic, and platform data</w:t>
      </w:r>
    </w:p>
    <w:p>
      <w:pPr>
        <w:pStyle w:val="ListBullet"/>
      </w:pPr>
      <w:r>
        <w:rPr>
          <w:rFonts w:ascii="Source Serif 4" w:hAnsi="Source Serif 4"/>
          <w:sz w:val="21"/>
        </w:rPr>
        <w:t>Integration support for payments, shipping, webhooks, and inventory-related workflows already identified in the application</w:t>
      </w:r>
    </w:p>
    <w:p>
      <w:pPr>
        <w:pStyle w:val="ListBullet"/>
      </w:pPr>
      <w:r>
        <w:rPr>
          <w:rFonts w:ascii="Source Serif 4" w:hAnsi="Source Serif 4"/>
          <w:sz w:val="21"/>
        </w:rPr>
        <w:t>Bug fixes, regression repairs, and limited post-launch support for the agreed scope</w:t>
      </w:r>
    </w:p>
    <w:p>
      <w:pPr>
        <w:spacing w:after="80"/>
      </w:pPr>
      <w:r>
        <w:rPr>
          <w:rFonts w:ascii="Source Serif 4" w:hAnsi="Source Serif 4"/>
          <w:sz w:val="21"/>
        </w:rPr>
        <w:t>Hereinafter known as the "Services."</w:t>
      </w:r>
    </w:p>
    <w:p>
      <w:pPr>
        <w:spacing w:after="80"/>
      </w:pPr>
      <w:r>
        <w:rPr>
          <w:rFonts w:ascii="Source Serif 4" w:hAnsi="Source Serif 4"/>
          <w:sz w:val="21"/>
        </w:rPr>
        <w:t>The Service Provider guarantees that they shall perform the Services in compliance with the policies, standards, and regulations of the Client, including applicable laws in the Republic of the Philippines, and to the best of their abilities.</w:t>
      </w:r>
    </w:p>
    <w:p>
      <w:pPr>
        <w:pStyle w:val="ListNumber"/>
      </w:pPr>
      <w:r>
        <w:rPr>
          <w:rFonts w:ascii="Source Serif 4" w:hAnsi="Source Serif 4"/>
          <w:sz w:val="21"/>
        </w:rPr>
        <w:t>PAYMENT AMOUNT. The Client agrees to pay the Service Provider the following compensation for the Services performed under this Agreement:</w:t>
      </w:r>
    </w:p>
    <w:p>
      <w:pPr>
        <w:pStyle w:val="ListBullet"/>
      </w:pPr>
      <w:r>
        <w:rPr>
          <w:rFonts w:ascii="Source Serif 4" w:hAnsi="Source Serif 4"/>
          <w:sz w:val="21"/>
        </w:rPr>
        <w:t>Per Hour. PHP 1,500.00 / hour for any additional work outside the agreed scope that is approved in writing.</w:t>
      </w:r>
    </w:p>
    <w:p>
      <w:pPr>
        <w:pStyle w:val="ListBullet"/>
      </w:pPr>
      <w:r>
        <w:rPr>
          <w:rFonts w:ascii="Source Serif 4" w:hAnsi="Source Serif 4"/>
          <w:sz w:val="21"/>
        </w:rPr>
        <w:t>Per Job. PHP 250,000.00 for the completion of the Services, payable in the installment schedule stated in Section 5.</w:t>
      </w:r>
    </w:p>
    <w:p>
      <w:pPr>
        <w:spacing w:after="80"/>
      </w:pPr>
      <w:r>
        <w:rPr>
          <w:rFonts w:ascii="Source Serif 4" w:hAnsi="Source Serif 4"/>
          <w:sz w:val="21"/>
        </w:rPr>
        <w:t>Hereinafter known as the "Compensation."</w:t>
      </w:r>
    </w:p>
    <w:p>
      <w:pPr>
        <w:pStyle w:val="ListNumber"/>
      </w:pPr>
      <w:r>
        <w:rPr>
          <w:rFonts w:ascii="Source Serif 4" w:hAnsi="Source Serif 4"/>
          <w:sz w:val="21"/>
        </w:rPr>
        <w:t>PAYMENT METHOD. The Client shall pay the Compensation upon receiving an invoice from the Service Provider. Invoices shall be issued monthly beginning August 1, 2026 and then on the first day of each following month for a total of 12 monthly installments.</w:t>
      </w:r>
    </w:p>
    <w:p>
      <w:pPr>
        <w:spacing w:after="80"/>
      </w:pPr>
      <w:r>
        <w:rPr>
          <w:rFonts w:ascii="Source Serif 4" w:hAnsi="Source Serif 4"/>
          <w:sz w:val="21"/>
        </w:rPr>
        <w:t>The installment amounts shall be as follows:</w:t>
      </w:r>
    </w:p>
    <w:p>
      <w:pPr>
        <w:pStyle w:val="ListBullet"/>
      </w:pPr>
      <w:r>
        <w:rPr>
          <w:rFonts w:ascii="Source Serif 4" w:hAnsi="Source Serif 4"/>
          <w:sz w:val="21"/>
        </w:rPr>
        <w:t>Months 1 to 11: PHP 20,833.33 each</w:t>
      </w:r>
    </w:p>
    <w:p>
      <w:pPr>
        <w:pStyle w:val="ListBullet"/>
      </w:pPr>
      <w:r>
        <w:rPr>
          <w:rFonts w:ascii="Source Serif 4" w:hAnsi="Source Serif 4"/>
          <w:sz w:val="21"/>
        </w:rPr>
        <w:t>Month 12: PHP 20,833.37</w:t>
      </w:r>
    </w:p>
    <w:p>
      <w:pPr>
        <w:spacing w:after="80"/>
      </w:pPr>
      <w:r>
        <w:rPr>
          <w:rFonts w:ascii="Source Serif 4" w:hAnsi="Source Serif 4"/>
          <w:sz w:val="21"/>
        </w:rPr>
        <w:t>Each invoice is due within 7 calendar days from the invoice date.</w:t>
      </w:r>
    </w:p>
    <w:p>
      <w:pPr>
        <w:pStyle w:val="ListNumber"/>
      </w:pPr>
      <w:r>
        <w:rPr>
          <w:rFonts w:ascii="Source Serif 4" w:hAnsi="Source Serif 4"/>
          <w:sz w:val="21"/>
        </w:rPr>
        <w:t>RETAINER. The Client is NOT REQUIRED to pay a Retainer before the Service Provider is able to provide Services.</w:t>
      </w:r>
    </w:p>
    <w:p>
      <w:pPr>
        <w:pStyle w:val="ListNumber"/>
      </w:pPr>
      <w:r>
        <w:rPr>
          <w:rFonts w:ascii="Source Serif 4" w:hAnsi="Source Serif 4"/>
          <w:sz w:val="21"/>
        </w:rPr>
        <w:t>TERMINATION. In the event of a material breach, either party may terminate this Agreement prior to the end of the term by providing 10 days' written notice to the defaulting party.</w:t>
      </w:r>
    </w:p>
    <w:p>
      <w:pPr>
        <w:pStyle w:val="ListNumber"/>
      </w:pPr>
      <w:r>
        <w:rPr>
          <w:rFonts w:ascii="Source Serif 4" w:hAnsi="Source Serif 4"/>
          <w:sz w:val="21"/>
        </w:rPr>
        <w:t>INSPECTION OF SERVICES. Any Compensation shall be subject to the Client inspecting the completed Services provided by the Service Provider. If any of the Services performed by the Service Provider pursuant to this Agreement are defective or incomplete, the Client shall have the right to notify the Service Provider, at which time the Service Provider shall promptly correct such work within a reasonable time.</w:t>
      </w:r>
    </w:p>
    <w:p>
      <w:pPr>
        <w:spacing w:after="80"/>
      </w:pPr>
      <w:r>
        <w:rPr>
          <w:rFonts w:ascii="Source Serif 4" w:hAnsi="Source Serif 4"/>
          <w:sz w:val="21"/>
        </w:rPr>
        <w:t>For clarity, deliverables that match the agreed scope are deemed accepted if the Client does not provide a written list of material issues within 5 business days after delivery.</w:t>
      </w:r>
    </w:p>
    <w:p>
      <w:pPr>
        <w:pStyle w:val="ListNumber"/>
      </w:pPr>
      <w:r>
        <w:rPr>
          <w:rFonts w:ascii="Source Serif 4" w:hAnsi="Source Serif 4"/>
          <w:sz w:val="21"/>
        </w:rPr>
        <w:t>RETURN OF PROPERTY. Upon termination of this Agreement, all property provided by the Client must be returned by the Service Provider. Failure to do so may result in a delay in any final payment made by the Client.</w:t>
      </w:r>
    </w:p>
    <w:p>
      <w:pPr>
        <w:spacing w:after="80"/>
      </w:pPr>
      <w:r>
        <w:rPr>
          <w:rFonts w:ascii="Source Serif 4" w:hAnsi="Source Serif 4"/>
          <w:sz w:val="21"/>
        </w:rPr>
        <w:t>10. TIME IS OF THE ESSENCE. The Service Provider acknowledges that time is of the essence in regard to the performance of all Services.</w:t>
      </w:r>
    </w:p>
    <w:p>
      <w:pPr>
        <w:spacing w:after="80"/>
      </w:pPr>
      <w:r>
        <w:rPr>
          <w:rFonts w:ascii="Source Serif 4" w:hAnsi="Source Serif 4"/>
          <w:sz w:val="21"/>
        </w:rPr>
        <w:t>11. MUTUAL INDEMNIFICATION. Subject to the terms and conditions set forth in this Agreement, each Party shall indemnify, hold harmless, and defend the other Party and its managers, officers, directors, employees, agents, affiliates, and permitted successors and assigns against any and all losses, damages, liabilities, deficiencies, claims, actions, judgments, settlements, interest, awards, penalties, fines, costs, or expenses of whatever kind, including professional fees and reasonable attorneys' fees, arising out of the Services provided under this Agreement or by either Party's failure to perform or comply with any requirements of this Agreement.</w:t>
      </w:r>
    </w:p>
    <w:p>
      <w:pPr>
        <w:spacing w:after="80"/>
      </w:pPr>
      <w:r>
        <w:rPr>
          <w:rFonts w:ascii="Source Serif 4" w:hAnsi="Source Serif 4"/>
          <w:sz w:val="21"/>
        </w:rPr>
        <w:t>This Section includes, without limitation, claims related to unauthorized use of materials, breach of confidentiality, infringement of copyright or other proprietary rights, and damages caused by a Party's own negligence or willful misconduct.</w:t>
      </w:r>
    </w:p>
    <w:p>
      <w:pPr>
        <w:spacing w:after="80"/>
      </w:pPr>
      <w:r>
        <w:rPr>
          <w:rFonts w:ascii="Source Serif 4" w:hAnsi="Source Serif 4"/>
          <w:sz w:val="21"/>
        </w:rPr>
        <w:t>12. CONFIDENTIALITY. The Service Provider acknowledges and agrees that all of the Client's financial and accounting records, lists of property, user information, technical architecture, product plans, business processes, credentials, access keys, and any other data and information related to the Client's business is confidential (the "Confidential Information"). Therefore, except for disclosures required to advance the business of the Client and information which is a matter of public record, the Service Provider shall not, during the term of this Agreement or after its termination, disclose any Confidential Information for the benefit of the Service Provider or any other person, except with prior written consent from the Client.</w:t>
      </w:r>
    </w:p>
    <w:p>
      <w:pPr>
        <w:spacing w:after="80"/>
      </w:pPr>
      <w:r>
        <w:rPr>
          <w:rFonts w:ascii="Source Serif 4" w:hAnsi="Source Serif 4"/>
          <w:sz w:val="21"/>
        </w:rPr>
        <w:t>a) Return of Documents. The Service Provider acknowledges and agrees that all originals and copies of records, reports, documents, lists, plans, memoranda, notes, source files, build notes, and other documentation related to the business of the Client containing Confidential Information shall be the sole and exclusive property of the Client and shall be returned to the Client upon termination of this Agreement or upon written request of the Client.</w:t>
      </w:r>
    </w:p>
    <w:p>
      <w:pPr>
        <w:spacing w:after="80"/>
      </w:pPr>
      <w:r>
        <w:rPr>
          <w:rFonts w:ascii="Source Serif 4" w:hAnsi="Source Serif 4"/>
          <w:sz w:val="21"/>
        </w:rPr>
        <w:t>b) Injunction. The Client agrees that it would be difficult to measure damage to the Client's business from any breach by the Service Provider under this Section; therefore, any monetary damages would be an inadequate remedy for such breach. Accordingly, the Service Provider agrees that should they breach this Section, the Client shall be entitled to, in addition to all other remedies it may have at law or equity, an injunction or other appropriate orders to restrain any such breach, without showing or proving actual damages sustained by the Client.</w:t>
      </w:r>
    </w:p>
    <w:p>
      <w:pPr>
        <w:spacing w:after="80"/>
      </w:pPr>
      <w:r>
        <w:rPr>
          <w:rFonts w:ascii="Source Serif 4" w:hAnsi="Source Serif 4"/>
          <w:sz w:val="21"/>
        </w:rPr>
        <w:t>c) No Release. The Service Provider agrees that the termination of this Agreement shall not release them from the obligations in this Section.</w:t>
      </w:r>
    </w:p>
    <w:p>
      <w:pPr>
        <w:spacing w:after="80"/>
      </w:pPr>
      <w:r>
        <w:rPr>
          <w:rFonts w:ascii="Source Serif 4" w:hAnsi="Source Serif 4"/>
          <w:sz w:val="21"/>
        </w:rPr>
        <w:t>13. TAXES. The Service Provider shall pay and be solely responsible for all taxes, duties, and charges of any kind imposed by any national or local governmental entity applicable to amounts payable under this Agreement, including the Service Provider's own income tax and any required remittances under applicable Philippine law. Any statutory withholding required from payments made by the Client shall be handled in accordance with law.</w:t>
      </w:r>
    </w:p>
    <w:p>
      <w:pPr>
        <w:spacing w:after="80"/>
      </w:pPr>
      <w:r>
        <w:rPr>
          <w:rFonts w:ascii="Source Serif 4" w:hAnsi="Source Serif 4"/>
          <w:sz w:val="21"/>
        </w:rPr>
        <w:t>14. INDEPENDENT CONTRACTOR STATUS. The Service Provider, under the applicable laws of the Republic of the Philippines, is an independent contractor and neither the Service Provider or their employees or contract personnel are, or shall be deemed, the Client's employees. In its capacity as an independent contractor, the Service Provider agrees and represents that:</w:t>
      </w:r>
    </w:p>
    <w:p>
      <w:pPr>
        <w:spacing w:after="80"/>
      </w:pPr>
      <w:r>
        <w:rPr>
          <w:rFonts w:ascii="Source Serif 4" w:hAnsi="Source Serif 4"/>
          <w:sz w:val="21"/>
        </w:rPr>
        <w:t>a) The Service Provider has the right to perform Services for others during the term of this Agreement;</w:t>
      </w:r>
    </w:p>
    <w:p>
      <w:pPr>
        <w:spacing w:after="80"/>
      </w:pPr>
      <w:r>
        <w:rPr>
          <w:rFonts w:ascii="Source Serif 4" w:hAnsi="Source Serif 4"/>
          <w:sz w:val="21"/>
        </w:rPr>
        <w:t>b) The Service Provider has the sole right to control and direct the means, manner, and method by which the Services required under this Agreement will be performed;</w:t>
      </w:r>
    </w:p>
    <w:p>
      <w:pPr>
        <w:spacing w:after="80"/>
      </w:pPr>
      <w:r>
        <w:rPr>
          <w:rFonts w:ascii="Source Serif 4" w:hAnsi="Source Serif 4"/>
          <w:sz w:val="21"/>
        </w:rPr>
        <w:t>c) The Service Provider shall select the routes taken, starting and ending times, days of work, and the order in which work will be performed, subject to the agreed deadlines and delivery milestones;</w:t>
      </w:r>
    </w:p>
    <w:p>
      <w:pPr>
        <w:spacing w:after="80"/>
      </w:pPr>
      <w:r>
        <w:rPr>
          <w:rFonts w:ascii="Source Serif 4" w:hAnsi="Source Serif 4"/>
          <w:sz w:val="21"/>
        </w:rPr>
        <w:t>d) The Service Provider has the right to hire assistants as subcontractors or to use employees to provide the Services under this Agreement, subject to the Client's prior written approval for any subcontracting that affects confidentiality or access;</w:t>
      </w:r>
    </w:p>
    <w:p>
      <w:pPr>
        <w:spacing w:after="80"/>
      </w:pPr>
      <w:r>
        <w:rPr>
          <w:rFonts w:ascii="Source Serif 4" w:hAnsi="Source Serif 4"/>
          <w:sz w:val="21"/>
        </w:rPr>
        <w:t>e) Neither the Service Provider nor the Service Provider's employees or personnel shall be required to wear any uniforms provided by the Client;</w:t>
      </w:r>
    </w:p>
    <w:p>
      <w:pPr>
        <w:spacing w:after="80"/>
      </w:pPr>
      <w:r>
        <w:rPr>
          <w:rFonts w:ascii="Source Serif 4" w:hAnsi="Source Serif 4"/>
          <w:sz w:val="21"/>
        </w:rPr>
        <w:t>f) The Services required by this Agreement shall be performed by the Service Provider or the Service Provider's employees or personnel, and the Client will not hire, supervise, or pay assistants to help the Service Provider;</w:t>
      </w:r>
    </w:p>
    <w:p>
      <w:pPr>
        <w:spacing w:after="80"/>
      </w:pPr>
      <w:r>
        <w:rPr>
          <w:rFonts w:ascii="Source Serif 4" w:hAnsi="Source Serif 4"/>
          <w:sz w:val="21"/>
        </w:rPr>
        <w:t>g) Neither the Service Provider nor the Service Provider's employees or personnel shall receive any training from the Client for the professional skills necessary to perform the Services required by this Agreement; and</w:t>
      </w:r>
    </w:p>
    <w:p>
      <w:pPr>
        <w:spacing w:after="80"/>
      </w:pPr>
      <w:r>
        <w:rPr>
          <w:rFonts w:ascii="Source Serif 4" w:hAnsi="Source Serif 4"/>
          <w:sz w:val="21"/>
        </w:rPr>
        <w:t>h) Neither the Service Provider nor the Service Provider's employees or personnel shall be required by the Client to devote full time to the performance of the Services required by this Agreement.</w:t>
      </w:r>
    </w:p>
    <w:p>
      <w:pPr>
        <w:spacing w:after="80"/>
      </w:pPr>
      <w:r>
        <w:rPr>
          <w:rFonts w:ascii="Source Serif 4" w:hAnsi="Source Serif 4"/>
          <w:sz w:val="21"/>
        </w:rPr>
        <w:t>15. SAFETY. The Service Provider shall be solely responsible for protecting the Service Provider, any assistants, and all other persons from risk of death, injury, or bodily harm arising from or in any way related to the Services or any site where Services are being performed (the "Work Site"). If any work is performed on-site, the Service Provider shall act in accordance with applicable safety rules and regulations and shall be solely responsible and liable for any penalties, fines, or fees incurred.</w:t>
      </w:r>
    </w:p>
    <w:p>
      <w:pPr>
        <w:spacing w:after="80"/>
      </w:pPr>
      <w:r>
        <w:rPr>
          <w:rFonts w:ascii="Source Serif 4" w:hAnsi="Source Serif 4"/>
          <w:sz w:val="21"/>
        </w:rPr>
        <w:t>16. ALCOHOL AND DRUGS. The Service Provider agrees that the presence of alcohol and drugs is prohibited on the Work Site and while performing their Services. If the Service Provider or any of their agents, employees, or subcontractors are determined to be using or in possession of alcohol or drugs at an agreed on-site work session, this Agreement shall terminate immediately.</w:t>
      </w:r>
    </w:p>
    <w:p>
      <w:pPr>
        <w:spacing w:after="80"/>
      </w:pPr>
      <w:r>
        <w:rPr>
          <w:rFonts w:ascii="Source Serif 4" w:hAnsi="Source Serif 4"/>
          <w:sz w:val="21"/>
        </w:rPr>
        <w:t>17. SUCCESSORS AND ASSIGNS. The provisions of this Agreement shall be binding upon and inured to the benefit of heirs, personal representatives, successors, and assigns of the Parties. Any provision hereof which imposes upon the Service Provider or Client an obligation after termination or expiration of this Agreement shall survive termination or expiration hereof and be binding upon the Service Provider or Client.</w:t>
      </w:r>
    </w:p>
    <w:p>
      <w:pPr>
        <w:spacing w:after="80"/>
      </w:pPr>
      <w:r>
        <w:rPr>
          <w:rFonts w:ascii="Source Serif 4" w:hAnsi="Source Serif 4"/>
          <w:sz w:val="21"/>
        </w:rPr>
        <w:t>18. DEFAULT. In the event of default under this Agreement, the defaulted Party shall reimburse the non-defaulting Party or Parties for all costs and expenses reasonably incurred by the non-defaulting Party or Parties in connection with the default, including, without limitation, claims identified in Section 11, equitable relief under Section 12, and as otherwise permitted by this Agreement or by law.</w:t>
      </w:r>
    </w:p>
    <w:p>
      <w:pPr>
        <w:spacing w:after="80"/>
      </w:pPr>
      <w:r>
        <w:rPr>
          <w:rFonts w:ascii="Source Serif 4" w:hAnsi="Source Serif 4"/>
          <w:sz w:val="21"/>
        </w:rPr>
        <w:t>19. NO WAIVER. No waiver of any provision of this Agreement shall be deemed or shall constitute a continuing waiver, and no waiver shall be binding unless executed in writing by the Party making the waiver.</w:t>
      </w:r>
    </w:p>
    <w:p>
      <w:pPr>
        <w:spacing w:after="80"/>
      </w:pPr>
      <w:r>
        <w:rPr>
          <w:rFonts w:ascii="Source Serif 4" w:hAnsi="Source Serif 4"/>
          <w:sz w:val="21"/>
        </w:rPr>
        <w:t>20. GOVERNING LAW. This Agreement shall be governed under the laws of the Republic of the Philippines.</w:t>
      </w:r>
    </w:p>
    <w:p>
      <w:pPr>
        <w:spacing w:after="80"/>
      </w:pPr>
      <w:r>
        <w:rPr>
          <w:rFonts w:ascii="Source Serif 4" w:hAnsi="Source Serif 4"/>
          <w:sz w:val="21"/>
        </w:rPr>
        <w:t>21. SEVERABILITY. This Agreement shall remain in effect in the event a section or provision is unenforceable or invalid. All remaining sections and provisions shall be deemed legally binding unless a court administers that any such provision or section is invalid or unenforceable, thus limiting the effect of another provision or section. In such case, the affected provision or section shall be enforced as so limited.</w:t>
      </w:r>
    </w:p>
    <w:p>
      <w:pPr>
        <w:spacing w:after="80"/>
      </w:pPr>
      <w:r>
        <w:rPr>
          <w:rFonts w:ascii="Source Serif 4" w:hAnsi="Source Serif 4"/>
          <w:sz w:val="21"/>
        </w:rPr>
        <w:t>22. ADDITIONAL TERMS AND CONDITIONS.</w:t>
      </w:r>
    </w:p>
    <w:p>
      <w:pPr>
        <w:pStyle w:val="ListBullet"/>
      </w:pPr>
      <w:r>
        <w:rPr>
          <w:rFonts w:ascii="Source Serif 4" w:hAnsi="Source Serif 4"/>
          <w:sz w:val="21"/>
        </w:rPr>
        <w:t>Any feature, integration, redesign, migration, or support request not expressly listed in Section 3 is outside scope and requires written approval before work begins.</w:t>
      </w:r>
    </w:p>
    <w:p>
      <w:pPr>
        <w:pStyle w:val="ListBullet"/>
      </w:pPr>
      <w:r>
        <w:rPr>
          <w:rFonts w:ascii="Source Serif 4" w:hAnsi="Source Serif 4"/>
          <w:sz w:val="21"/>
        </w:rPr>
        <w:t>Third-party service costs, including hosting, domain registration, payment processing, shipping platforms, email services, and similar operational charges, are the responsibility of the Client unless otherwise agreed in writing.</w:t>
      </w:r>
    </w:p>
    <w:p>
      <w:pPr>
        <w:pStyle w:val="ListBullet"/>
      </w:pPr>
      <w:r>
        <w:rPr>
          <w:rFonts w:ascii="Source Serif 4" w:hAnsi="Source Serif 4"/>
          <w:sz w:val="21"/>
        </w:rPr>
        <w:t>The Service Provider may pause work if invoices remain unpaid beyond the due date.</w:t>
      </w:r>
    </w:p>
    <w:p>
      <w:pPr>
        <w:pStyle w:val="ListBullet"/>
      </w:pPr>
      <w:r>
        <w:rPr>
          <w:rFonts w:ascii="Source Serif 4" w:hAnsi="Source Serif 4"/>
          <w:sz w:val="21"/>
        </w:rPr>
        <w:t>Delays caused by missing content, approvals, access credentials, or third-party outages extend the delivery schedule accordingly.</w:t>
      </w:r>
    </w:p>
    <w:p>
      <w:pPr>
        <w:spacing w:after="80"/>
      </w:pPr>
      <w:r>
        <w:rPr>
          <w:rFonts w:ascii="Source Serif 4" w:hAnsi="Source Serif 4"/>
          <w:sz w:val="21"/>
        </w:rPr>
        <w:t>23. ENTIRE AGREEMENT. This Agreement constitutes the entire agreement between the Parties to its subject matter and supersedes all prior agreements, representations, and understandings of the Parties. No supplement, modification, or amendment of this Agreement shall be binding unless executed in writing by the Parties.</w:t>
      </w:r>
    </w:p>
    <w:p>
      <w:pPr>
        <w:spacing w:after="80"/>
      </w:pPr>
      <w:r>
        <w:rPr>
          <w:rFonts w:ascii="Source Serif 4" w:hAnsi="Source Serif 4"/>
          <w:sz w:val="21"/>
        </w:rPr>
        <w:t>IN WITNESS WHEREOF, the Parties have signed and duly executed this Agreement on the dates identified below.</w:t>
      </w:r>
    </w:p>
    <w:p>
      <w:pPr>
        <w:spacing w:after="80"/>
      </w:pPr>
      <w:r>
        <w:rPr>
          <w:rFonts w:ascii="Source Serif 4" w:hAnsi="Source Serif 4"/>
          <w:sz w:val="21"/>
        </w:rPr>
        <w:t>Client's Signature:</w:t>
      </w:r>
    </w:p>
    <w:p>
      <w:pPr>
        <w:spacing w:after="80"/>
      </w:pPr>
      <w:r>
        <w:rPr>
          <w:rFonts w:ascii="Source Serif 4" w:hAnsi="Source Serif 4"/>
          <w:sz w:val="21"/>
        </w:rPr>
        <w:t>Date:</w:t>
      </w:r>
    </w:p>
    <w:p>
      <w:pPr>
        <w:spacing w:after="80"/>
      </w:pPr>
      <w:r>
        <w:rPr>
          <w:rFonts w:ascii="Source Serif 4" w:hAnsi="Source Serif 4"/>
          <w:sz w:val="21"/>
        </w:rPr>
        <w:t>Print Name: Joevanni P. Lupasi</w:t>
      </w:r>
    </w:p>
    <w:p>
      <w:pPr>
        <w:spacing w:before="160"/>
      </w:pPr>
      <w:r>
        <w:rPr>
          <w:rFonts w:ascii="Source Serif 4" w:hAnsi="Source Serif 4"/>
          <w:b w:val="0"/>
          <w:sz w:val="21"/>
        </w:rPr>
        <w:t xml:space="preserve">Service Provider's Signature: </w:t>
      </w:r>
      <w:r>
        <w:drawing>
          <wp:inline xmlns:a="http://schemas.openxmlformats.org/drawingml/2006/main" xmlns:pic="http://schemas.openxmlformats.org/drawingml/2006/picture">
            <wp:extent cx="2194560" cy="658368"/>
            <wp:docPr id="1" name="Picture 1"/>
            <wp:cNvGraphicFramePr>
              <a:graphicFrameLocks noChangeAspect="1"/>
            </wp:cNvGraphicFramePr>
            <a:graphic>
              <a:graphicData uri="http://schemas.openxmlformats.org/drawingml/2006/picture">
                <pic:pic>
                  <pic:nvPicPr>
                    <pic:cNvPr id="0" name="signature.png"/>
                    <pic:cNvPicPr/>
                  </pic:nvPicPr>
                  <pic:blipFill>
                    <a:blip r:embed="rId9"/>
                    <a:stretch>
                      <a:fillRect/>
                    </a:stretch>
                  </pic:blipFill>
                  <pic:spPr>
                    <a:xfrm>
                      <a:off x="0" y="0"/>
                      <a:ext cx="2194560" cy="658368"/>
                    </a:xfrm>
                    <a:prstGeom prst="rect"/>
                  </pic:spPr>
                </pic:pic>
              </a:graphicData>
            </a:graphic>
          </wp:inline>
        </w:drawing>
      </w:r>
    </w:p>
    <w:p>
      <w:pPr>
        <w:spacing w:after="80"/>
      </w:pPr>
      <w:r>
        <w:rPr>
          <w:rFonts w:ascii="Source Serif 4" w:hAnsi="Source Serif 4"/>
          <w:sz w:val="21"/>
        </w:rPr>
        <w:t>Date:</w:t>
      </w:r>
    </w:p>
    <w:p>
      <w:pPr>
        <w:spacing w:after="80"/>
      </w:pPr>
      <w:r>
        <w:rPr>
          <w:rFonts w:ascii="Source Serif 4" w:hAnsi="Source Serif 4"/>
          <w:sz w:val="21"/>
        </w:rPr>
        <w:t>Print Name: Justine P. Lupasi</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erif 4" w:hAnsi="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