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Inter" w:cs="Inter" w:eastAsia="Inter" w:hAnsi="Inter"/>
        </w:rPr>
      </w:pPr>
      <w:bookmarkStart w:colFirst="0" w:colLast="0" w:name="_heading=h.gjdgxs" w:id="0"/>
      <w:bookmarkEnd w:id="0"/>
      <w:r w:rsidDel="00000000" w:rsidR="00000000" w:rsidRPr="00000000">
        <w:rPr>
          <w:rFonts w:ascii="Inter" w:cs="Inter" w:eastAsia="Inter" w:hAnsi="Inter"/>
          <w:b w:val="1"/>
          <w:sz w:val="50"/>
          <w:szCs w:val="50"/>
          <w:rtl w:val="0"/>
        </w:rPr>
        <w:t xml:space="preserve">Plan prévisionnel</w:t>
      </w:r>
      <w:r w:rsidDel="00000000" w:rsidR="00000000" w:rsidRPr="00000000">
        <w:rPr>
          <w:rtl w:val="0"/>
        </w:rPr>
      </w:r>
    </w:p>
    <w:p w:rsidR="00000000" w:rsidDel="00000000" w:rsidP="00000000" w:rsidRDefault="00000000" w:rsidRPr="00000000" w14:paraId="00000002">
      <w:pPr>
        <w:pStyle w:val="Heading2"/>
        <w:rPr>
          <w:rFonts w:ascii="Inter" w:cs="Inter" w:eastAsia="Inter" w:hAnsi="Inter"/>
          <w:b w:val="1"/>
        </w:rPr>
      </w:pPr>
      <w:bookmarkStart w:colFirst="0" w:colLast="0" w:name="_heading=h.30j0zll" w:id="1"/>
      <w:bookmarkEnd w:id="1"/>
      <w:r w:rsidDel="00000000" w:rsidR="00000000" w:rsidRPr="00000000">
        <w:rPr>
          <w:rFonts w:ascii="Inter" w:cs="Inter" w:eastAsia="Inter" w:hAnsi="Inter"/>
          <w:b w:val="1"/>
          <w:rtl w:val="0"/>
        </w:rPr>
        <w:t xml:space="preserve">Dataset retenu</w:t>
      </w:r>
    </w:p>
    <w:p w:rsidR="00000000" w:rsidDel="00000000" w:rsidP="00000000" w:rsidRDefault="00000000" w:rsidRPr="00000000" w14:paraId="00000003">
      <w:pPr>
        <w:shd w:fill="ffffff" w:val="clear"/>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Nous allons utiliser le dataset proposé par l’université de Standford nommé « Stanford Dogs Dataset »</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Il se compose de 20 580 images libres de droit pour une utilisation non commerciale réparties en 120 races de chiens.</w:t>
      </w:r>
    </w:p>
    <w:p w:rsidR="00000000" w:rsidDel="00000000" w:rsidP="00000000" w:rsidRDefault="00000000" w:rsidRPr="00000000" w14:paraId="0000000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Lien : </w:t>
      </w:r>
      <w:hyperlink r:id="rId7">
        <w:r w:rsidDel="00000000" w:rsidR="00000000" w:rsidRPr="00000000">
          <w:rPr>
            <w:rFonts w:ascii="Calibri" w:cs="Calibri" w:eastAsia="Calibri" w:hAnsi="Calibri"/>
            <w:color w:val="0000ff"/>
            <w:sz w:val="24"/>
            <w:szCs w:val="24"/>
            <w:u w:val="single"/>
            <w:rtl w:val="0"/>
          </w:rPr>
          <w:t xml:space="preserve">http://vision.stanford.edu/aditya86/ImageNetDogs/</w:t>
        </w:r>
      </w:hyperlink>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pStyle w:val="Heading2"/>
        <w:rPr>
          <w:rFonts w:ascii="Inter" w:cs="Inter" w:eastAsia="Inter" w:hAnsi="Inter"/>
          <w:b w:val="1"/>
        </w:rPr>
      </w:pPr>
      <w:bookmarkStart w:colFirst="0" w:colLast="0" w:name="_heading=h.1fob9te" w:id="2"/>
      <w:bookmarkEnd w:id="2"/>
      <w:r w:rsidDel="00000000" w:rsidR="00000000" w:rsidRPr="00000000">
        <w:rPr>
          <w:rFonts w:ascii="Inter" w:cs="Inter" w:eastAsia="Inter" w:hAnsi="Inter"/>
          <w:b w:val="1"/>
          <w:rtl w:val="0"/>
        </w:rPr>
        <w:t xml:space="preserve">Modèle envisagé</w:t>
      </w:r>
    </w:p>
    <w:p w:rsidR="00000000" w:rsidDel="00000000" w:rsidP="00000000" w:rsidRDefault="00000000" w:rsidRPr="00000000" w14:paraId="0000000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cherchons un modèle de reconnaissance d’image (par classification) performant pour élargir l’étude que nous avons menée sur 5 races de chiens sur un nombre plus important de races.</w:t>
      </w:r>
    </w:p>
    <w:p w:rsidR="00000000" w:rsidDel="00000000" w:rsidP="00000000" w:rsidRDefault="00000000" w:rsidRPr="00000000" w14:paraId="0000000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Lors de notre précédent projet nous avions testé 3 algorithmes : </w:t>
      </w:r>
    </w:p>
    <w:p w:rsidR="00000000" w:rsidDel="00000000" w:rsidP="00000000" w:rsidRDefault="00000000" w:rsidRPr="00000000" w14:paraId="0000000A">
      <w:pPr>
        <w:numPr>
          <w:ilvl w:val="0"/>
          <w:numId w:val="2"/>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 modèle personnel</w:t>
      </w:r>
    </w:p>
    <w:p w:rsidR="00000000" w:rsidDel="00000000" w:rsidP="00000000" w:rsidRDefault="00000000" w:rsidRPr="00000000" w14:paraId="0000000B">
      <w:pPr>
        <w:numPr>
          <w:ilvl w:val="0"/>
          <w:numId w:val="2"/>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 modèle de transfer learning avec VGG16 (2014)</w:t>
      </w:r>
    </w:p>
    <w:p w:rsidR="00000000" w:rsidDel="00000000" w:rsidP="00000000" w:rsidRDefault="00000000" w:rsidRPr="00000000" w14:paraId="0000000C">
      <w:pPr>
        <w:numPr>
          <w:ilvl w:val="0"/>
          <w:numId w:val="2"/>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 modèle de transfer learning avec Resnet50 (2015)</w:t>
      </w:r>
    </w:p>
    <w:p w:rsidR="00000000" w:rsidDel="00000000" w:rsidP="00000000" w:rsidRDefault="00000000" w:rsidRPr="00000000" w14:paraId="0000000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présent nous souhaitons évaluer les performances d’un modèle plus récent : ConvNext (2022).</w:t>
      </w:r>
    </w:p>
    <w:p w:rsidR="00000000" w:rsidDel="00000000" w:rsidP="00000000" w:rsidRDefault="00000000" w:rsidRPr="00000000" w14:paraId="0000000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Tous les modèles testés sont des réseaux de neurones convolutifs (CNN), avec chacun ses particularités.</w:t>
      </w:r>
    </w:p>
    <w:p w:rsidR="00000000" w:rsidDel="00000000" w:rsidP="00000000" w:rsidRDefault="00000000" w:rsidRPr="00000000" w14:paraId="0000001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ConvNext s’inspire de l’architecture des ViT (Vision Transformer) et propose des couches de convolution plus larges (7x7) et utilise des couches d’activation GELU et non ReLU. A la différence des 2 modèles de transfer learning précédemment testés, ConvNeXt est disponible dans la bibliothèque Torch et non Keras.</w:t>
      </w:r>
    </w:p>
    <w:p w:rsidR="00000000" w:rsidDel="00000000" w:rsidP="00000000" w:rsidRDefault="00000000" w:rsidRPr="00000000" w14:paraId="0000001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D’après les résultats présentés dans l’article “ConvNext: The Return Of Convolution Networks”, ConvNeXt peut présenter de meilleures performances que Resnet.</w:t>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pStyle w:val="Heading2"/>
        <w:rPr>
          <w:rFonts w:ascii="Inter" w:cs="Inter" w:eastAsia="Inter" w:hAnsi="Inter"/>
          <w:b w:val="1"/>
        </w:rPr>
      </w:pPr>
      <w:r w:rsidDel="00000000" w:rsidR="00000000" w:rsidRPr="00000000">
        <w:rPr>
          <w:rFonts w:ascii="Inter" w:cs="Inter" w:eastAsia="Inter" w:hAnsi="Inter"/>
          <w:b w:val="1"/>
          <w:rtl w:val="0"/>
        </w:rPr>
        <w:t xml:space="preserve">Références bibliographiques</w:t>
      </w:r>
    </w:p>
    <w:p w:rsidR="00000000" w:rsidDel="00000000" w:rsidP="00000000" w:rsidRDefault="00000000" w:rsidRPr="00000000" w14:paraId="00000014">
      <w:pPr>
        <w:shd w:fill="ffffff" w:val="clear"/>
        <w:spacing w:before="160" w:lineRule="auto"/>
        <w:ind w:right="24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Sources :</w:t>
      </w:r>
    </w:p>
    <w:p w:rsidR="00000000" w:rsidDel="00000000" w:rsidP="00000000" w:rsidRDefault="00000000" w:rsidRPr="00000000" w14:paraId="00000015">
      <w:pPr>
        <w:numPr>
          <w:ilvl w:val="0"/>
          <w:numId w:val="4"/>
        </w:numPr>
        <w:shd w:fill="ffffff" w:val="clear"/>
        <w:ind w:left="720" w:hanging="360"/>
        <w:jc w:val="both"/>
        <w:rPr>
          <w:i w:val="1"/>
          <w:color w:val="b7b7b7"/>
          <w:sz w:val="26"/>
          <w:szCs w:val="26"/>
          <w:highlight w:val="white"/>
        </w:rPr>
      </w:pPr>
      <w:r w:rsidDel="00000000" w:rsidR="00000000" w:rsidRPr="00000000">
        <w:rPr>
          <w:rFonts w:ascii="Calibri" w:cs="Calibri" w:eastAsia="Calibri" w:hAnsi="Calibri"/>
          <w:sz w:val="24"/>
          <w:szCs w:val="24"/>
          <w:rtl w:val="0"/>
        </w:rPr>
        <w:t xml:space="preserve">Arxiv (recherche) :</w:t>
      </w:r>
      <w:r w:rsidDel="00000000" w:rsidR="00000000" w:rsidRPr="00000000">
        <w:rPr>
          <w:rFonts w:ascii="Calibri" w:cs="Calibri" w:eastAsia="Calibri" w:hAnsi="Calibri"/>
          <w:i w:val="1"/>
          <w:color w:val="b7b7b7"/>
          <w:sz w:val="24"/>
          <w:szCs w:val="24"/>
          <w:highlight w:val="white"/>
          <w:rtl w:val="0"/>
        </w:rPr>
        <w:t xml:space="preserve"> </w:t>
      </w:r>
      <w:hyperlink r:id="rId8">
        <w:r w:rsidDel="00000000" w:rsidR="00000000" w:rsidRPr="00000000">
          <w:rPr>
            <w:rFonts w:ascii="Calibri" w:cs="Calibri" w:eastAsia="Calibri" w:hAnsi="Calibri"/>
            <w:i w:val="1"/>
            <w:color w:val="0000ff"/>
            <w:sz w:val="24"/>
            <w:szCs w:val="24"/>
            <w:u w:val="single"/>
            <w:rtl w:val="0"/>
          </w:rPr>
          <w:t xml:space="preserve">https://arxiv.org/abs/2201.03545</w:t>
        </w:r>
      </w:hyperlink>
      <w:r w:rsidDel="00000000" w:rsidR="00000000" w:rsidRPr="00000000">
        <w:rPr>
          <w:rtl w:val="0"/>
        </w:rPr>
      </w:r>
    </w:p>
    <w:p w:rsidR="00000000" w:rsidDel="00000000" w:rsidP="00000000" w:rsidRDefault="00000000" w:rsidRPr="00000000" w14:paraId="00000016">
      <w:pPr>
        <w:numPr>
          <w:ilvl w:val="0"/>
          <w:numId w:val="4"/>
        </w:numPr>
        <w:shd w:fill="ffffff" w:val="clear"/>
        <w:ind w:left="720" w:hanging="360"/>
        <w:jc w:val="both"/>
        <w:rPr>
          <w:rFonts w:ascii="Calibri" w:cs="Calibri" w:eastAsia="Calibri" w:hAnsi="Calibri"/>
          <w:i w:val="1"/>
          <w:color w:val="b7b7b7"/>
          <w:sz w:val="26"/>
          <w:szCs w:val="26"/>
          <w:highlight w:val="white"/>
        </w:rPr>
      </w:pPr>
      <w:hyperlink r:id="rId9">
        <w:r w:rsidDel="00000000" w:rsidR="00000000" w:rsidRPr="00000000">
          <w:rPr>
            <w:rFonts w:ascii="Calibri" w:cs="Calibri" w:eastAsia="Calibri" w:hAnsi="Calibri"/>
            <w:color w:val="0000ff"/>
            <w:sz w:val="24"/>
            <w:szCs w:val="24"/>
            <w:u w:val="single"/>
            <w:rtl w:val="0"/>
          </w:rPr>
          <w:t xml:space="preserve">Medium</w:t>
        </w:r>
      </w:hyperlink>
      <w:r w:rsidDel="00000000" w:rsidR="00000000" w:rsidRPr="00000000">
        <w:rPr>
          <w:rFonts w:ascii="Calibri" w:cs="Calibri" w:eastAsia="Calibri" w:hAnsi="Calibri"/>
          <w:sz w:val="24"/>
          <w:szCs w:val="24"/>
          <w:rtl w:val="0"/>
        </w:rPr>
        <w:t xml:space="preserve"> : ConvNext: The Return Of Convolution Networks</w:t>
      </w:r>
      <w:r w:rsidDel="00000000" w:rsidR="00000000" w:rsidRPr="00000000">
        <w:rPr>
          <w:rtl w:val="0"/>
        </w:rPr>
      </w:r>
    </w:p>
    <w:p w:rsidR="00000000" w:rsidDel="00000000" w:rsidP="00000000" w:rsidRDefault="00000000" w:rsidRPr="00000000" w14:paraId="00000017">
      <w:pPr>
        <w:numPr>
          <w:ilvl w:val="0"/>
          <w:numId w:val="4"/>
        </w:numPr>
        <w:shd w:fill="ffffff" w:val="clear"/>
        <w:ind w:left="720" w:hanging="360"/>
        <w:jc w:val="both"/>
        <w:rPr>
          <w:rFonts w:ascii="Calibri" w:cs="Calibri" w:eastAsia="Calibri" w:hAnsi="Calibri"/>
          <w:sz w:val="26"/>
          <w:szCs w:val="26"/>
        </w:rPr>
      </w:pPr>
      <w:hyperlink r:id="rId10">
        <w:r w:rsidDel="00000000" w:rsidR="00000000" w:rsidRPr="00000000">
          <w:rPr>
            <w:rFonts w:ascii="Calibri" w:cs="Calibri" w:eastAsia="Calibri" w:hAnsi="Calibri"/>
            <w:color w:val="0000ff"/>
            <w:sz w:val="24"/>
            <w:szCs w:val="24"/>
            <w:u w:val="single"/>
            <w:rtl w:val="0"/>
          </w:rPr>
          <w:t xml:space="preserve">Medium</w:t>
        </w:r>
      </w:hyperlink>
      <w:r w:rsidDel="00000000" w:rsidR="00000000" w:rsidRPr="00000000">
        <w:rPr>
          <w:rFonts w:ascii="Calibri" w:cs="Calibri" w:eastAsia="Calibri" w:hAnsi="Calibri"/>
          <w:sz w:val="24"/>
          <w:szCs w:val="24"/>
          <w:rtl w:val="0"/>
        </w:rPr>
        <w:t xml:space="preserve"> : Papers Explained 94: ConvNeXt V2</w:t>
      </w:r>
    </w:p>
    <w:p w:rsidR="00000000" w:rsidDel="00000000" w:rsidP="00000000" w:rsidRDefault="00000000" w:rsidRPr="00000000" w14:paraId="00000018">
      <w:pPr>
        <w:numPr>
          <w:ilvl w:val="0"/>
          <w:numId w:val="4"/>
        </w:numPr>
        <w:shd w:fill="ffffff" w:val="clear"/>
        <w:ind w:left="720" w:hanging="360"/>
        <w:jc w:val="both"/>
        <w:rPr>
          <w:rFonts w:ascii="Calibri" w:cs="Calibri" w:eastAsia="Calibri" w:hAnsi="Calibri"/>
          <w:i w:val="1"/>
          <w:color w:val="b7b7b7"/>
          <w:sz w:val="26"/>
          <w:szCs w:val="26"/>
          <w:highlight w:val="white"/>
        </w:rPr>
      </w:pPr>
      <w:hyperlink r:id="rId11">
        <w:r w:rsidDel="00000000" w:rsidR="00000000" w:rsidRPr="00000000">
          <w:rPr>
            <w:rFonts w:ascii="Calibri" w:cs="Calibri" w:eastAsia="Calibri" w:hAnsi="Calibri"/>
            <w:color w:val="1155cc"/>
            <w:sz w:val="24"/>
            <w:szCs w:val="24"/>
            <w:u w:val="single"/>
            <w:rtl w:val="0"/>
          </w:rPr>
          <w:t xml:space="preserve">Medium</w:t>
        </w:r>
      </w:hyperlink>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sz w:val="24"/>
          <w:szCs w:val="24"/>
          <w:rtl w:val="0"/>
        </w:rPr>
        <w:t xml:space="preserve">ConvNeXt — Next Generation of Convolutional Networks</w:t>
      </w:r>
    </w:p>
    <w:p w:rsidR="00000000" w:rsidDel="00000000" w:rsidP="00000000" w:rsidRDefault="00000000" w:rsidRPr="00000000" w14:paraId="00000019">
      <w:pPr>
        <w:numPr>
          <w:ilvl w:val="0"/>
          <w:numId w:val="4"/>
        </w:numPr>
        <w:shd w:fill="ffffff" w:val="clear"/>
        <w:ind w:left="720" w:hanging="360"/>
        <w:jc w:val="both"/>
        <w:rPr>
          <w:rFonts w:ascii="Calibri" w:cs="Calibri" w:eastAsia="Calibri" w:hAnsi="Calibri"/>
          <w:sz w:val="26"/>
          <w:szCs w:val="26"/>
        </w:rPr>
      </w:pPr>
      <w:hyperlink r:id="rId12">
        <w:r w:rsidDel="00000000" w:rsidR="00000000" w:rsidRPr="00000000">
          <w:rPr>
            <w:rFonts w:ascii="Calibri" w:cs="Calibri" w:eastAsia="Calibri" w:hAnsi="Calibri"/>
            <w:color w:val="1155cc"/>
            <w:sz w:val="24"/>
            <w:szCs w:val="24"/>
            <w:u w:val="single"/>
            <w:rtl w:val="0"/>
          </w:rPr>
          <w:t xml:space="preserve">HuggingFace</w:t>
        </w:r>
      </w:hyperlink>
      <w:r w:rsidDel="00000000" w:rsidR="00000000" w:rsidRPr="00000000">
        <w:rPr>
          <w:rFonts w:ascii="Calibri" w:cs="Calibri" w:eastAsia="Calibri" w:hAnsi="Calibri"/>
          <w:sz w:val="24"/>
          <w:szCs w:val="24"/>
          <w:rtl w:val="0"/>
        </w:rPr>
        <w:t xml:space="preserve"> : https://huggingface.co/docs/transformers/model_doc/convnext</w:t>
      </w:r>
      <w:r w:rsidDel="00000000" w:rsidR="00000000" w:rsidRPr="00000000">
        <w:rPr>
          <w:rtl w:val="0"/>
        </w:rPr>
      </w:r>
    </w:p>
    <w:p w:rsidR="00000000" w:rsidDel="00000000" w:rsidP="00000000" w:rsidRDefault="00000000" w:rsidRPr="00000000" w14:paraId="0000001A">
      <w:pPr>
        <w:shd w:fill="ffffff" w:val="clear"/>
        <w:ind w:right="240"/>
        <w:rPr>
          <w:rFonts w:ascii="Inter" w:cs="Inter" w:eastAsia="Inter" w:hAnsi="Inter"/>
          <w:i w:val="1"/>
          <w:color w:val="b7b7b7"/>
          <w:highlight w:val="white"/>
        </w:rPr>
      </w:pPr>
      <w:r w:rsidDel="00000000" w:rsidR="00000000" w:rsidRPr="00000000">
        <w:rPr>
          <w:rtl w:val="0"/>
        </w:rPr>
      </w:r>
    </w:p>
    <w:p w:rsidR="00000000" w:rsidDel="00000000" w:rsidP="00000000" w:rsidRDefault="00000000" w:rsidRPr="00000000" w14:paraId="0000001B">
      <w:pPr>
        <w:pStyle w:val="Heading2"/>
        <w:rPr>
          <w:rFonts w:ascii="Inter" w:cs="Inter" w:eastAsia="Inter" w:hAnsi="Inter"/>
          <w:b w:val="1"/>
        </w:rPr>
      </w:pPr>
      <w:r w:rsidDel="00000000" w:rsidR="00000000" w:rsidRPr="00000000">
        <w:rPr>
          <w:rFonts w:ascii="Inter" w:cs="Inter" w:eastAsia="Inter" w:hAnsi="Inter"/>
          <w:b w:val="1"/>
          <w:rtl w:val="0"/>
        </w:rPr>
        <w:t xml:space="preserve">Explication de votre démarche de test du nouvel algorithme (votre preuve de concept)</w:t>
      </w:r>
    </w:p>
    <w:p w:rsidR="00000000" w:rsidDel="00000000" w:rsidP="00000000" w:rsidRDefault="00000000" w:rsidRPr="00000000" w14:paraId="0000001C">
      <w:pPr>
        <w:shd w:fill="ffffff" w:val="clear"/>
        <w:spacing w:after="240" w:before="24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Nous allons tester les modèles ResNet et ConvNeXt sur le même jeu de données et sur la même tâche de classification. Nous testerons ces algorithmes sur 5, 10 et 15 classes (races) pour évaluer la robustesse de chacun d’entre eux à la généralisation. </w:t>
      </w:r>
    </w:p>
    <w:p w:rsidR="00000000" w:rsidDel="00000000" w:rsidP="00000000" w:rsidRDefault="00000000" w:rsidRPr="00000000" w14:paraId="0000001D">
      <w:pPr>
        <w:shd w:fill="ffffff" w:val="clear"/>
        <w:spacing w:after="240" w:before="24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Les indicateurs que nous comparerons sont : </w:t>
      </w:r>
    </w:p>
    <w:p w:rsidR="00000000" w:rsidDel="00000000" w:rsidP="00000000" w:rsidRDefault="00000000" w:rsidRPr="00000000" w14:paraId="0000001E">
      <w:pPr>
        <w:numPr>
          <w:ilvl w:val="0"/>
          <w:numId w:val="1"/>
        </w:numPr>
        <w:shd w:fill="ffffff" w:val="clear"/>
        <w:spacing w:after="0" w:afterAutospacing="0" w:before="24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accuracy</w:t>
      </w:r>
    </w:p>
    <w:p w:rsidR="00000000" w:rsidDel="00000000" w:rsidP="00000000" w:rsidRDefault="00000000" w:rsidRPr="00000000" w14:paraId="0000001F">
      <w:pPr>
        <w:numPr>
          <w:ilvl w:val="0"/>
          <w:numId w:val="1"/>
        </w:numPr>
        <w:shd w:fill="ffffff" w:val="clear"/>
        <w:spacing w:after="0" w:afterAutospacing="0" w:before="0" w:beforeAutospacing="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loss</w:t>
      </w:r>
    </w:p>
    <w:p w:rsidR="00000000" w:rsidDel="00000000" w:rsidP="00000000" w:rsidRDefault="00000000" w:rsidRPr="00000000" w14:paraId="00000020">
      <w:pPr>
        <w:numPr>
          <w:ilvl w:val="0"/>
          <w:numId w:val="1"/>
        </w:numPr>
        <w:shd w:fill="ffffff" w:val="clear"/>
        <w:spacing w:after="0" w:afterAutospacing="0" w:before="0" w:beforeAutospacing="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temps d’entraînement</w:t>
      </w:r>
    </w:p>
    <w:p w:rsidR="00000000" w:rsidDel="00000000" w:rsidP="00000000" w:rsidRDefault="00000000" w:rsidRPr="00000000" w14:paraId="00000021">
      <w:pPr>
        <w:numPr>
          <w:ilvl w:val="0"/>
          <w:numId w:val="1"/>
        </w:numPr>
        <w:shd w:fill="ffffff" w:val="clear"/>
        <w:spacing w:after="240" w:before="0" w:beforeAutospacing="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performance avec l’augmentation de la cardinalité de la target (augmentation du nombre de races recherchées)</w:t>
      </w:r>
      <w:r w:rsidDel="00000000" w:rsidR="00000000" w:rsidRPr="00000000">
        <w:rPr>
          <w:rtl w:val="0"/>
        </w:rPr>
      </w:r>
    </w:p>
    <w:p w:rsidR="00000000" w:rsidDel="00000000" w:rsidP="00000000" w:rsidRDefault="00000000" w:rsidRPr="00000000" w14:paraId="00000022">
      <w:pPr>
        <w:shd w:fill="ffffff" w:val="clear"/>
        <w:spacing w:after="240" w:before="24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Les modèles sont pré-entrainés sur ImageNet (1.2 milliards d’images).</w:t>
      </w:r>
    </w:p>
    <w:p w:rsidR="00000000" w:rsidDel="00000000" w:rsidP="00000000" w:rsidRDefault="00000000" w:rsidRPr="00000000" w14:paraId="00000023">
      <w:pPr>
        <w:numPr>
          <w:ilvl w:val="0"/>
          <w:numId w:val="3"/>
        </w:numPr>
        <w:shd w:fill="ffffff" w:val="clear"/>
        <w:spacing w:after="0" w:afterAutospacing="0" w:before="24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Environnement de test : Tensorflow</w:t>
      </w:r>
    </w:p>
    <w:p w:rsidR="00000000" w:rsidDel="00000000" w:rsidP="00000000" w:rsidRDefault="00000000" w:rsidRPr="00000000" w14:paraId="00000024">
      <w:pPr>
        <w:numPr>
          <w:ilvl w:val="0"/>
          <w:numId w:val="3"/>
        </w:numPr>
        <w:shd w:fill="ffffff" w:val="clear"/>
        <w:spacing w:after="0" w:afterAutospacing="0" w:before="0" w:beforeAutospacing="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Préprocessing des données (identique)</w:t>
      </w:r>
    </w:p>
    <w:p w:rsidR="00000000" w:rsidDel="00000000" w:rsidP="00000000" w:rsidRDefault="00000000" w:rsidRPr="00000000" w14:paraId="00000025">
      <w:pPr>
        <w:numPr>
          <w:ilvl w:val="0"/>
          <w:numId w:val="3"/>
        </w:numPr>
        <w:shd w:fill="ffffff" w:val="clear"/>
        <w:spacing w:after="0" w:afterAutospacing="0" w:before="0" w:beforeAutospacing="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Implémentation de ResNet50 et ConvNeXt et entraînement avec les mêmes hyper paramètres et early stopping</w:t>
      </w:r>
    </w:p>
    <w:p w:rsidR="00000000" w:rsidDel="00000000" w:rsidP="00000000" w:rsidRDefault="00000000" w:rsidRPr="00000000" w14:paraId="00000026">
      <w:pPr>
        <w:numPr>
          <w:ilvl w:val="0"/>
          <w:numId w:val="3"/>
        </w:numPr>
        <w:shd w:fill="ffffff" w:val="clear"/>
        <w:spacing w:after="240" w:before="0" w:beforeAutospacing="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Comparaison des résultats (et stockage dans mlflow) &amp; matrice de confusion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left"/>
        <w:rPr>
          <w:rFonts w:ascii="Inter" w:cs="Inter" w:eastAsia="Inter" w:hAnsi="Inter"/>
          <w:b w:val="0"/>
          <w:i w:val="1"/>
          <w:smallCaps w:val="0"/>
          <w:strike w:val="0"/>
          <w:color w:val="b7b7b7"/>
          <w:sz w:val="22"/>
          <w:szCs w:val="22"/>
          <w:highlight w:val="white"/>
          <w:u w:val="none"/>
          <w:vertAlign w:val="baseline"/>
        </w:rPr>
      </w:pP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shd w:fill="ffffff" w:val="clear"/>
      <w:ind w:right="2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2085975</wp:posOffset>
          </wp:positionH>
          <wp:positionV relativeFrom="paragraph">
            <wp:posOffset>-342899</wp:posOffset>
          </wp:positionV>
          <wp:extent cx="1160872" cy="408575"/>
          <wp:effectExtent b="0" l="0" r="0" t="0"/>
          <wp:wrapNone/>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60872" cy="408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190500</wp:posOffset>
          </wp:positionV>
          <wp:extent cx="6176963" cy="1159463"/>
          <wp:effectExtent b="0" l="0" r="0" t="0"/>
          <wp:wrapNone/>
          <wp:docPr id="6"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6176963" cy="1159463"/>
                  </a:xfrm>
                  <a:prstGeom prst="rect"/>
                  <a:ln/>
                </pic:spPr>
              </pic:pic>
            </a:graphicData>
          </a:graphic>
        </wp:anchor>
      </w:drawing>
    </w:r>
  </w:p>
  <w:p w:rsidR="00000000" w:rsidDel="00000000" w:rsidP="00000000" w:rsidRDefault="00000000" w:rsidRPr="00000000" w14:paraId="00000029">
    <w:pPr>
      <w:shd w:fill="ffffff" w:val="clear"/>
      <w:ind w:right="240"/>
      <w:rPr/>
    </w:pPr>
    <w:r w:rsidDel="00000000" w:rsidR="00000000" w:rsidRPr="00000000">
      <w:rPr>
        <w:rtl w:val="0"/>
      </w:rPr>
    </w:r>
  </w:p>
  <w:p w:rsidR="00000000" w:rsidDel="00000000" w:rsidP="00000000" w:rsidRDefault="00000000" w:rsidRPr="00000000" w14:paraId="0000002A">
    <w:pPr>
      <w:shd w:fill="ffffff" w:val="clear"/>
      <w:ind w:right="240"/>
      <w:rPr/>
    </w:pPr>
    <w:r w:rsidDel="00000000" w:rsidR="00000000" w:rsidRPr="00000000">
      <w:rPr>
        <w:rtl w:val="0"/>
      </w:rPr>
    </w:r>
  </w:p>
  <w:p w:rsidR="00000000" w:rsidDel="00000000" w:rsidP="00000000" w:rsidRDefault="00000000" w:rsidRPr="00000000" w14:paraId="0000002B">
    <w:pPr>
      <w:shd w:fill="ffffff" w:val="clear"/>
      <w:ind w:right="240"/>
      <w:rPr/>
    </w:pPr>
    <w:r w:rsidDel="00000000" w:rsidR="00000000" w:rsidRPr="00000000">
      <w:rPr>
        <w:rtl w:val="0"/>
      </w:rPr>
    </w:r>
  </w:p>
  <w:p w:rsidR="00000000" w:rsidDel="00000000" w:rsidP="00000000" w:rsidRDefault="00000000" w:rsidRPr="00000000" w14:paraId="0000002C">
    <w:pPr>
      <w:shd w:fill="ffffff" w:val="clear"/>
      <w:ind w:right="240"/>
      <w:rPr/>
    </w:pPr>
    <w:r w:rsidDel="00000000" w:rsidR="00000000" w:rsidRPr="00000000">
      <w:rPr>
        <w:rtl w:val="0"/>
      </w:rPr>
    </w:r>
  </w:p>
  <w:p w:rsidR="00000000" w:rsidDel="00000000" w:rsidP="00000000" w:rsidRDefault="00000000" w:rsidRPr="00000000" w14:paraId="0000002D">
    <w:pPr>
      <w:shd w:fill="ffffff" w:val="clear"/>
      <w:ind w:right="240"/>
      <w:rPr/>
    </w:pPr>
    <w:r w:rsidDel="00000000" w:rsidR="00000000" w:rsidRPr="00000000">
      <w:rPr>
        <w:rtl w:val="0"/>
      </w:rPr>
    </w:r>
  </w:p>
  <w:p w:rsidR="00000000" w:rsidDel="00000000" w:rsidP="00000000" w:rsidRDefault="00000000" w:rsidRPr="00000000" w14:paraId="0000002E">
    <w:pPr>
      <w:shd w:fill="ffffff" w:val="clear"/>
      <w:ind w:right="240"/>
      <w:rPr/>
    </w:pPr>
    <w:r w:rsidDel="00000000" w:rsidR="00000000" w:rsidRPr="00000000">
      <w:rPr>
        <w:rtl w:val="0"/>
      </w:rPr>
    </w:r>
  </w:p>
  <w:p w:rsidR="00000000" w:rsidDel="00000000" w:rsidP="00000000" w:rsidRDefault="00000000" w:rsidRPr="00000000" w14:paraId="0000002F">
    <w:pPr>
      <w:shd w:fill="ffffff" w:val="clear"/>
      <w:ind w:right="240"/>
      <w:rPr/>
    </w:pPr>
    <w:r w:rsidDel="00000000" w:rsidR="00000000" w:rsidRPr="00000000">
      <w:rPr>
        <w:rtl w:val="0"/>
      </w:rPr>
    </w:r>
  </w:p>
  <w:p w:rsidR="00000000" w:rsidDel="00000000" w:rsidP="00000000" w:rsidRDefault="00000000" w:rsidRPr="00000000" w14:paraId="00000030">
    <w:pPr>
      <w:shd w:fill="ffffff" w:val="clear"/>
      <w:ind w:right="24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Inter" w:cs="Inter" w:eastAsia="Inter" w:hAnsi="Inter"/>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itre1">
    <w:name w:val="heading 1"/>
    <w:basedOn w:val="Normal"/>
    <w:next w:val="Normal"/>
    <w:uiPriority w:val="9"/>
    <w:qFormat w:val="1"/>
    <w:pPr>
      <w:keepNext w:val="1"/>
      <w:keepLines w:val="1"/>
      <w:spacing w:after="120" w:before="400"/>
      <w:outlineLvl w:val="0"/>
    </w:pPr>
    <w:rPr>
      <w:sz w:val="40"/>
      <w:szCs w:val="40"/>
    </w:rPr>
  </w:style>
  <w:style w:type="paragraph" w:styleId="Titre2">
    <w:name w:val="heading 2"/>
    <w:basedOn w:val="Normal"/>
    <w:next w:val="Normal"/>
    <w:uiPriority w:val="9"/>
    <w:unhideWhenUsed w:val="1"/>
    <w:qFormat w:val="1"/>
    <w:pPr>
      <w:keepNext w:val="1"/>
      <w:keepLines w:val="1"/>
      <w:spacing w:after="120" w:before="360"/>
      <w:outlineLvl w:val="1"/>
    </w:pPr>
    <w:rPr>
      <w:sz w:val="32"/>
      <w:szCs w:val="32"/>
    </w:rPr>
  </w:style>
  <w:style w:type="paragraph" w:styleId="Titre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itre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itre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itre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uiPriority w:val="10"/>
    <w:qFormat w:val="1"/>
    <w:pPr>
      <w:keepNext w:val="1"/>
      <w:keepLines w:val="1"/>
      <w:spacing w:after="60"/>
    </w:pPr>
    <w:rPr>
      <w:sz w:val="52"/>
      <w:szCs w:val="52"/>
    </w:rPr>
  </w:style>
  <w:style w:type="paragraph" w:styleId="Sous-titre">
    <w:name w:val="Subtitle"/>
    <w:basedOn w:val="Normal"/>
    <w:next w:val="Normal"/>
    <w:uiPriority w:val="11"/>
    <w:qFormat w:val="1"/>
    <w:pPr>
      <w:keepNext w:val="1"/>
      <w:keepLines w:val="1"/>
      <w:spacing w:after="320"/>
    </w:pPr>
    <w:rPr>
      <w:color w:val="666666"/>
      <w:sz w:val="30"/>
      <w:szCs w:val="30"/>
    </w:rPr>
  </w:style>
  <w:style w:type="paragraph" w:styleId="En-tte">
    <w:name w:val="header"/>
    <w:basedOn w:val="Normal"/>
    <w:link w:val="En-tteCar"/>
    <w:uiPriority w:val="99"/>
    <w:unhideWhenUsed w:val="1"/>
    <w:rsid w:val="008C526F"/>
    <w:pPr>
      <w:tabs>
        <w:tab w:val="center" w:pos="4536"/>
        <w:tab w:val="right" w:pos="9072"/>
      </w:tabs>
      <w:spacing w:line="240" w:lineRule="auto"/>
    </w:pPr>
  </w:style>
  <w:style w:type="character" w:styleId="En-tteCar" w:customStyle="1">
    <w:name w:val="En-tête Car"/>
    <w:basedOn w:val="Policepardfaut"/>
    <w:link w:val="En-tte"/>
    <w:uiPriority w:val="99"/>
    <w:rsid w:val="008C526F"/>
  </w:style>
  <w:style w:type="paragraph" w:styleId="Pieddepage">
    <w:name w:val="footer"/>
    <w:basedOn w:val="Normal"/>
    <w:link w:val="PieddepageCar"/>
    <w:uiPriority w:val="99"/>
    <w:unhideWhenUsed w:val="1"/>
    <w:rsid w:val="008C526F"/>
    <w:pPr>
      <w:tabs>
        <w:tab w:val="center" w:pos="4536"/>
        <w:tab w:val="right" w:pos="9072"/>
      </w:tabs>
      <w:spacing w:line="240" w:lineRule="auto"/>
    </w:pPr>
  </w:style>
  <w:style w:type="character" w:styleId="PieddepageCar" w:customStyle="1">
    <w:name w:val="Pied de page Car"/>
    <w:basedOn w:val="Policepardfaut"/>
    <w:link w:val="Pieddepage"/>
    <w:uiPriority w:val="99"/>
    <w:rsid w:val="008C526F"/>
  </w:style>
  <w:style w:type="character" w:styleId="Lienhypertexte">
    <w:name w:val="Hyperlink"/>
    <w:basedOn w:val="Policepardfaut"/>
    <w:uiPriority w:val="99"/>
    <w:unhideWhenUsed w:val="1"/>
    <w:rsid w:val="008C526F"/>
    <w:rPr>
      <w:color w:val="0000ff" w:themeColor="hyperlink"/>
      <w:u w:val="single"/>
    </w:rPr>
  </w:style>
  <w:style w:type="character" w:styleId="Mentionnonrsolue">
    <w:name w:val="Unresolved Mention"/>
    <w:basedOn w:val="Policepardfaut"/>
    <w:uiPriority w:val="99"/>
    <w:semiHidden w:val="1"/>
    <w:unhideWhenUsed w:val="1"/>
    <w:rsid w:val="008C526F"/>
    <w:rPr>
      <w:color w:val="605e5c"/>
      <w:shd w:color="auto" w:fill="e1dfdd" w:val="clear"/>
    </w:rPr>
  </w:style>
  <w:style w:type="paragraph" w:styleId="Paragraphedeliste">
    <w:name w:val="List Paragraph"/>
    <w:basedOn w:val="Normal"/>
    <w:uiPriority w:val="34"/>
    <w:qFormat w:val="1"/>
    <w:rsid w:val="00FA0D84"/>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medium.com/@atakanerdogan305/convnext-next-generation-of-convolutional-networks-325607a08c46" TargetMode="External"/><Relationship Id="rId10" Type="http://schemas.openxmlformats.org/officeDocument/2006/relationships/hyperlink" Target="https://medium.com/thedeephub/papers-explained-94-convnext-v2-2ecdabf2081c" TargetMode="External"/><Relationship Id="rId13" Type="http://schemas.openxmlformats.org/officeDocument/2006/relationships/header" Target="header1.xml"/><Relationship Id="rId12" Type="http://schemas.openxmlformats.org/officeDocument/2006/relationships/hyperlink" Target="https://huggingface.co/docs/transformers/model_doc/convnex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dium.com/augmented-startups/convnext-the-return-of-convolution-networks-e70cbe8dabcc#id_token=eyJhbGciOiJSUzI1NiIsImtpZCI6ImIyZjgwYzYzNDYwMGVkMTMwNzIxMDFhOGI0MjIwNDQzNDMzZGIyODIiLCJ0eXAiOiJKV1QifQ.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.AWBGkP_kZMFgkQuVnStDhbZK_w3Gi529agAdDmir7dEMoX28nMqFrkP0QV6Gg7Gb6LlC7WfHXEjwjjhsXFuJtU9VRAW7Z8HHbrMqkL-eufqOHdMRZPIRuFfW4j0zRF03TC3uKG9psnCpwutiaPTyOppDWcUDK0-O0UrBPZVw0XPj4MCRl5NCXL8-zMqPl9LaqyU7lvG4lZeC5x19wrup6ghk4w3KcjOAiNSp_QMnIODQOEUKmSV1IUg6RwtRsquYg3FaHjycPdY9NxYERlLSRSELRvk3biJnC4cYSs0hASa25Z6H6XPSTRWInMQupSVBR8Nvjzl27Kh2a2wuWHeFsw"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vision.stanford.edu/aditya86/ImageNetDogs/" TargetMode="External"/><Relationship Id="rId8" Type="http://schemas.openxmlformats.org/officeDocument/2006/relationships/hyperlink" Target="https://arxiv.org/abs/2201.0354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E7lc6J2EJkclkiidUR5P3J4V9w==">CgMxLjAyCGguZ2pkZ3hzMgloLjMwajB6bGwyCWguMWZvYjl0ZTgAciExMXZjYWZDRzh0T3NaT01QQll1cDl0dkg4b1BZQ1NNMy0=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2024-09-04T05:08:00Z</dcterms:created>
</cp:coreProperties>
</file>