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83BC3">
      <w:pPr>
        <w:spacing w:before="450" w:after="90"/>
        <w:jc w:val="center"/>
      </w:pPr>
      <w:r>
        <w:rPr>
          <w:rFonts w:ascii="Aptos Display" w:hAnsi="Aptos Display" w:eastAsia="Aptos Display" w:cs="Aptos Display"/>
          <w:b/>
          <w:bCs/>
          <w:color w:val="17324D"/>
          <w:sz w:val="46"/>
          <w:szCs w:val="46"/>
        </w:rPr>
        <w:t>AidLink</w:t>
      </w:r>
    </w:p>
    <w:p w14:paraId="64D33751">
      <w:pPr>
        <w:spacing w:after="90"/>
        <w:jc w:val="center"/>
      </w:pPr>
      <w:r>
        <w:rPr>
          <w:rFonts w:ascii="Aptos Display" w:hAnsi="Aptos Display" w:eastAsia="Aptos Display" w:cs="Aptos Display"/>
          <w:b/>
          <w:bCs/>
          <w:color w:val="167D83"/>
          <w:sz w:val="28"/>
          <w:szCs w:val="28"/>
        </w:rPr>
        <w:t>Week 3 Day 2 Workshop Output</w:t>
      </w:r>
    </w:p>
    <w:p w14:paraId="586BEEF4">
      <w:pPr>
        <w:spacing w:after="380"/>
        <w:jc w:val="center"/>
        <w:rPr>
          <w:rFonts w:ascii="Aptos" w:hAnsi="Aptos" w:eastAsia="Aptos" w:cs="Aptos"/>
          <w:color w:val="52606D"/>
          <w:sz w:val="21"/>
          <w:szCs w:val="21"/>
        </w:rPr>
      </w:pPr>
      <w:r>
        <w:rPr>
          <w:rFonts w:ascii="Aptos" w:hAnsi="Aptos" w:eastAsia="Aptos" w:cs="Aptos"/>
          <w:color w:val="52606D"/>
          <w:sz w:val="21"/>
          <w:szCs w:val="21"/>
        </w:rPr>
        <w:t>Table-based requirements and system analysis worksheet</w:t>
      </w:r>
      <w:r>
        <w:rPr>
          <w:rFonts w:ascii="Aptos" w:hAnsi="Aptos" w:eastAsia="Aptos" w:cs="Aptos"/>
          <w:color w:val="52606D"/>
          <w:sz w:val="21"/>
          <w:szCs w:val="21"/>
        </w:rPr>
        <w:br w:type="textWrapping"/>
      </w:r>
    </w:p>
    <w:tbl>
      <w:tblPr>
        <w:tblW w:w="0" w:type="auto"/>
        <w:tblInd w:w="-10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5"/>
        <w:gridCol w:w="2918"/>
        <w:gridCol w:w="1802"/>
        <w:gridCol w:w="3724"/>
      </w:tblGrid>
      <w:tr w14:paraId="716FF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74DB00">
            <w:pPr>
              <w:pStyle w:val="15"/>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bdr w:val="none" w:color="auto" w:sz="0" w:space="0"/>
                <w:vertAlign w:val="baseline"/>
              </w:rPr>
              <w:t>Name/ Group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0534E5">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Justine Pleños</w:t>
            </w:r>
          </w:p>
          <w:p w14:paraId="70758C79">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Micko Jay Niño P. Llanos</w:t>
            </w:r>
          </w:p>
          <w:p w14:paraId="55B9A235">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Allyson M. Manulat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D3DDAE">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Section/ Block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347F83">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BSIT 4 - AM &amp; EVE</w:t>
            </w:r>
          </w:p>
        </w:tc>
      </w:tr>
      <w:tr w14:paraId="31788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4971278">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Capstone Title</w:t>
            </w:r>
          </w:p>
        </w:tc>
        <w:tc>
          <w:tcPr>
            <w:tcW w:w="0" w:type="auto"/>
            <w:gridSpan w:val="3"/>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2DD7AD">
            <w:pPr>
              <w:pStyle w:val="15"/>
              <w:keepNext w:val="0"/>
              <w:keepLines w:val="0"/>
              <w:widowControl/>
              <w:suppressLineNumbers w:val="0"/>
              <w:bidi w:val="0"/>
              <w:spacing w:before="0" w:beforeAutospacing="0" w:after="160" w:afterAutospacing="0" w:line="22" w:lineRule="atLeast"/>
            </w:pPr>
            <w:r>
              <w:rPr>
                <w:rFonts w:hint="default" w:ascii="Arial" w:hAnsi="Arial" w:cs="Arial"/>
                <w:i w:val="0"/>
                <w:iCs w:val="0"/>
                <w:color w:val="000000"/>
                <w:sz w:val="24"/>
                <w:szCs w:val="24"/>
                <w:u w:val="none"/>
                <w:bdr w:val="none" w:color="auto" w:sz="0" w:space="0"/>
                <w:vertAlign w:val="baseline"/>
              </w:rPr>
              <w:t>AidLink: A Centralized Digital Assistance Management System for Davao City</w:t>
            </w:r>
          </w:p>
        </w:tc>
      </w:tr>
      <w:tr w14:paraId="13BF5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1AFEEF">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Date of Session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CF36BA">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September 23, 2026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172A160">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Instructor: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1C7284">
            <w:pPr>
              <w:pStyle w:val="15"/>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bdr w:val="none" w:color="auto" w:sz="0" w:space="0"/>
                <w:vertAlign w:val="baseline"/>
              </w:rPr>
              <w:t>Ms. Christine Marie D. Ordaneza</w:t>
            </w:r>
          </w:p>
        </w:tc>
      </w:tr>
    </w:tbl>
    <w:p w14:paraId="5241573F">
      <w:pPr>
        <w:spacing w:after="380"/>
        <w:jc w:val="center"/>
      </w:pPr>
    </w:p>
    <w:tbl>
      <w:tblPr>
        <w:tblStyle w:val="9"/>
        <w:tblW w:w="5000" w:type="pct"/>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 w:type="dxa"/>
          <w:bottom w:w="0" w:type="dxa"/>
          <w:right w:w="10" w:type="dxa"/>
        </w:tblCellMar>
      </w:tblPr>
      <w:tblGrid>
        <w:gridCol w:w="3395"/>
        <w:gridCol w:w="11345"/>
      </w:tblGrid>
      <w:tr w14:paraId="2118AED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shd w:val="clear" w:color="auto" w:fill="17324D"/>
            <w:tcMar>
              <w:top w:w="90" w:type="dxa"/>
              <w:left w:w="100" w:type="dxa"/>
              <w:bottom w:w="90" w:type="dxa"/>
              <w:right w:w="100" w:type="dxa"/>
            </w:tcMar>
          </w:tcPr>
          <w:p w14:paraId="480D0944">
            <w:pPr>
              <w:spacing w:after="0" w:line="240" w:lineRule="auto"/>
            </w:pPr>
            <w:r>
              <w:rPr>
                <w:rFonts w:ascii="Aptos" w:hAnsi="Aptos" w:eastAsia="Aptos" w:cs="Aptos"/>
                <w:b/>
                <w:bCs/>
                <w:color w:val="FFFFFF"/>
                <w:sz w:val="19"/>
                <w:szCs w:val="19"/>
              </w:rPr>
              <w:t>Submission field</w:t>
            </w:r>
          </w:p>
        </w:tc>
        <w:tc>
          <w:tcPr>
            <w:shd w:val="clear" w:color="auto" w:fill="17324D"/>
            <w:tcMar>
              <w:top w:w="90" w:type="dxa"/>
              <w:left w:w="100" w:type="dxa"/>
              <w:bottom w:w="90" w:type="dxa"/>
              <w:right w:w="100" w:type="dxa"/>
            </w:tcMar>
          </w:tcPr>
          <w:p w14:paraId="36F89DF4">
            <w:pPr>
              <w:spacing w:after="0" w:line="240" w:lineRule="auto"/>
            </w:pPr>
            <w:r>
              <w:rPr>
                <w:rFonts w:ascii="Aptos" w:hAnsi="Aptos" w:eastAsia="Aptos" w:cs="Aptos"/>
                <w:b/>
                <w:bCs/>
                <w:color w:val="FFFFFF"/>
                <w:sz w:val="19"/>
                <w:szCs w:val="19"/>
              </w:rPr>
              <w:t>Manuscript-based entry</w:t>
            </w:r>
          </w:p>
        </w:tc>
      </w:tr>
      <w:tr w14:paraId="0B08579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EF56C5D">
            <w:pPr>
              <w:spacing w:after="0" w:line="240" w:lineRule="auto"/>
            </w:pPr>
            <w:r>
              <w:rPr>
                <w:rFonts w:ascii="Aptos" w:hAnsi="Aptos" w:eastAsia="Aptos" w:cs="Aptos"/>
                <w:b w:val="0"/>
                <w:bCs w:val="0"/>
                <w:color w:val="243B53"/>
                <w:sz w:val="19"/>
                <w:szCs w:val="19"/>
              </w:rPr>
              <w:t>Project title</w:t>
            </w:r>
          </w:p>
        </w:tc>
        <w:tc>
          <w:tcPr>
            <w:tcMar>
              <w:top w:w="90" w:type="dxa"/>
              <w:left w:w="100" w:type="dxa"/>
              <w:bottom w:w="90" w:type="dxa"/>
              <w:right w:w="100" w:type="dxa"/>
            </w:tcMar>
          </w:tcPr>
          <w:p w14:paraId="27C1FA71">
            <w:pPr>
              <w:spacing w:after="0" w:line="240" w:lineRule="auto"/>
            </w:pPr>
            <w:r>
              <w:rPr>
                <w:rFonts w:ascii="Aptos" w:hAnsi="Aptos" w:eastAsia="Aptos" w:cs="Aptos"/>
                <w:b w:val="0"/>
                <w:bCs w:val="0"/>
                <w:color w:val="243B53"/>
                <w:sz w:val="19"/>
                <w:szCs w:val="19"/>
              </w:rPr>
              <w:t>AidLink: A Centralized Digital Assistance Management System for Davao City</w:t>
            </w:r>
          </w:p>
        </w:tc>
      </w:tr>
      <w:tr w14:paraId="03B2F91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81C76D3">
            <w:pPr>
              <w:spacing w:after="0" w:line="240" w:lineRule="auto"/>
            </w:pPr>
            <w:r>
              <w:rPr>
                <w:rFonts w:ascii="Aptos" w:hAnsi="Aptos" w:eastAsia="Aptos" w:cs="Aptos"/>
                <w:b w:val="0"/>
                <w:bCs w:val="0"/>
                <w:color w:val="243B53"/>
                <w:sz w:val="19"/>
                <w:szCs w:val="19"/>
              </w:rPr>
              <w:t>Program / office context</w:t>
            </w:r>
          </w:p>
        </w:tc>
        <w:tc>
          <w:tcPr>
            <w:tcMar>
              <w:top w:w="90" w:type="dxa"/>
              <w:left w:w="100" w:type="dxa"/>
              <w:bottom w:w="90" w:type="dxa"/>
              <w:right w:w="100" w:type="dxa"/>
            </w:tcMar>
          </w:tcPr>
          <w:p w14:paraId="1D52634E">
            <w:pPr>
              <w:spacing w:after="0" w:line="240" w:lineRule="auto"/>
            </w:pPr>
            <w:r>
              <w:rPr>
                <w:rFonts w:ascii="Aptos" w:hAnsi="Aptos" w:eastAsia="Aptos" w:cs="Aptos"/>
                <w:b w:val="0"/>
                <w:bCs w:val="0"/>
                <w:color w:val="243B53"/>
                <w:sz w:val="19"/>
                <w:szCs w:val="19"/>
              </w:rPr>
              <w:t>Lingap Para sa Mahirap Program, Lingap Bunawan Satellite Office</w:t>
            </w:r>
          </w:p>
        </w:tc>
      </w:tr>
      <w:tr w14:paraId="181C395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43CCB7D">
            <w:pPr>
              <w:spacing w:after="0" w:line="240" w:lineRule="auto"/>
            </w:pPr>
            <w:r>
              <w:rPr>
                <w:rFonts w:ascii="Aptos" w:hAnsi="Aptos" w:eastAsia="Aptos" w:cs="Aptos"/>
                <w:b w:val="0"/>
                <w:bCs w:val="0"/>
                <w:color w:val="243B53"/>
                <w:sz w:val="19"/>
                <w:szCs w:val="19"/>
              </w:rPr>
              <w:t>Workshop output</w:t>
            </w:r>
          </w:p>
        </w:tc>
        <w:tc>
          <w:tcPr>
            <w:tcMar>
              <w:top w:w="90" w:type="dxa"/>
              <w:left w:w="100" w:type="dxa"/>
              <w:bottom w:w="90" w:type="dxa"/>
              <w:right w:w="100" w:type="dxa"/>
            </w:tcMar>
          </w:tcPr>
          <w:p w14:paraId="446D7A26">
            <w:pPr>
              <w:spacing w:after="0" w:line="240" w:lineRule="auto"/>
            </w:pPr>
            <w:r>
              <w:rPr>
                <w:rFonts w:ascii="Aptos" w:hAnsi="Aptos" w:eastAsia="Aptos" w:cs="Aptos"/>
                <w:b w:val="0"/>
                <w:bCs w:val="0"/>
                <w:color w:val="243B53"/>
                <w:sz w:val="19"/>
                <w:szCs w:val="19"/>
              </w:rPr>
              <w:t>Week 3 Day 2: requirements, scope, stakeholders, validation, and readiness tables</w:t>
            </w:r>
          </w:p>
        </w:tc>
      </w:tr>
      <w:tr w14:paraId="38D51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878C382">
            <w:pPr>
              <w:spacing w:after="0" w:line="240" w:lineRule="auto"/>
            </w:pPr>
            <w:r>
              <w:rPr>
                <w:rFonts w:ascii="Aptos" w:hAnsi="Aptos" w:eastAsia="Aptos" w:cs="Aptos"/>
                <w:b w:val="0"/>
                <w:bCs w:val="0"/>
                <w:color w:val="243B53"/>
                <w:sz w:val="19"/>
                <w:szCs w:val="19"/>
              </w:rPr>
              <w:t>Proponents</w:t>
            </w:r>
          </w:p>
        </w:tc>
        <w:tc>
          <w:tcPr>
            <w:tcMar>
              <w:top w:w="90" w:type="dxa"/>
              <w:left w:w="100" w:type="dxa"/>
              <w:bottom w:w="90" w:type="dxa"/>
              <w:right w:w="100" w:type="dxa"/>
            </w:tcMar>
          </w:tcPr>
          <w:p w14:paraId="3B238632">
            <w:pPr>
              <w:spacing w:after="0" w:line="240" w:lineRule="auto"/>
            </w:pPr>
            <w:r>
              <w:rPr>
                <w:rFonts w:ascii="Aptos" w:hAnsi="Aptos" w:eastAsia="Aptos" w:cs="Aptos"/>
                <w:b w:val="0"/>
                <w:bCs w:val="0"/>
                <w:color w:val="243B53"/>
                <w:sz w:val="19"/>
                <w:szCs w:val="19"/>
              </w:rPr>
              <w:t>Micko Jay Niño P. Llanos; Allyson M. Manulat; Justine M. Pleños</w:t>
            </w:r>
          </w:p>
        </w:tc>
      </w:tr>
      <w:tr w14:paraId="50BE640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21EBB43A">
            <w:pPr>
              <w:spacing w:after="0" w:line="240" w:lineRule="auto"/>
            </w:pPr>
            <w:r>
              <w:rPr>
                <w:rFonts w:ascii="Aptos" w:hAnsi="Aptos" w:eastAsia="Aptos" w:cs="Aptos"/>
                <w:b w:val="0"/>
                <w:bCs w:val="0"/>
                <w:color w:val="243B53"/>
                <w:sz w:val="19"/>
                <w:szCs w:val="19"/>
              </w:rPr>
              <w:t>School / subject</w:t>
            </w:r>
          </w:p>
        </w:tc>
        <w:tc>
          <w:tcPr>
            <w:tcMar>
              <w:top w:w="90" w:type="dxa"/>
              <w:left w:w="100" w:type="dxa"/>
              <w:bottom w:w="90" w:type="dxa"/>
              <w:right w:w="100" w:type="dxa"/>
            </w:tcMar>
          </w:tcPr>
          <w:p w14:paraId="004E5281">
            <w:pPr>
              <w:spacing w:after="0" w:line="240" w:lineRule="auto"/>
            </w:pPr>
            <w:r>
              <w:rPr>
                <w:rFonts w:ascii="Aptos" w:hAnsi="Aptos" w:eastAsia="Aptos" w:cs="Aptos"/>
                <w:b w:val="0"/>
                <w:bCs w:val="0"/>
                <w:color w:val="243B53"/>
                <w:sz w:val="19"/>
                <w:szCs w:val="19"/>
              </w:rPr>
              <w:t>Assumption College of Davao, Information Technology Education Program, Capstone 2</w:t>
            </w:r>
          </w:p>
        </w:tc>
      </w:tr>
      <w:tr w14:paraId="571BE5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0D01D16E">
            <w:pPr>
              <w:spacing w:after="0" w:line="240" w:lineRule="auto"/>
            </w:pPr>
            <w:r>
              <w:rPr>
                <w:rFonts w:ascii="Aptos" w:hAnsi="Aptos" w:eastAsia="Aptos" w:cs="Aptos"/>
                <w:b w:val="0"/>
                <w:bCs w:val="0"/>
                <w:color w:val="243B53"/>
                <w:sz w:val="19"/>
                <w:szCs w:val="19"/>
              </w:rPr>
              <w:t>Instructor / date</w:t>
            </w:r>
          </w:p>
        </w:tc>
        <w:tc>
          <w:tcPr>
            <w:tcMar>
              <w:top w:w="90" w:type="dxa"/>
              <w:left w:w="100" w:type="dxa"/>
              <w:bottom w:w="90" w:type="dxa"/>
              <w:right w:w="100" w:type="dxa"/>
            </w:tcMar>
          </w:tcPr>
          <w:p w14:paraId="7F95D65B">
            <w:pPr>
              <w:spacing w:after="0" w:line="240" w:lineRule="auto"/>
            </w:pPr>
            <w:r>
              <w:rPr>
                <w:rFonts w:ascii="Aptos" w:hAnsi="Aptos" w:eastAsia="Aptos" w:cs="Aptos"/>
                <w:b w:val="0"/>
                <w:bCs w:val="0"/>
                <w:color w:val="243B53"/>
                <w:sz w:val="19"/>
                <w:szCs w:val="19"/>
              </w:rPr>
              <w:t>Ms. Roselyn M. Biala, MIT / September 2026</w:t>
            </w:r>
          </w:p>
        </w:tc>
      </w:tr>
    </w:tbl>
    <w:p w14:paraId="26412B0F">
      <w:pPr>
        <w:spacing w:before="180" w:after="120"/>
      </w:pPr>
      <w:r>
        <w:rPr>
          <w:rFonts w:ascii="Aptos" w:hAnsi="Aptos" w:eastAsia="Aptos" w:cs="Aptos"/>
          <w:color w:val="243B53"/>
          <w:sz w:val="19"/>
          <w:szCs w:val="19"/>
        </w:rPr>
        <w:t>Source used: AidLink manuscript provided by the proponents. This output distinguishes implemented prototype capabilities from requirements that still need testing, validation, or production preparation.</w:t>
      </w:r>
    </w:p>
    <w:p w14:paraId="3CC9DBFE">
      <w:pPr>
        <w:pStyle w:val="2"/>
        <w:spacing w:before="250" w:after="110"/>
      </w:pPr>
      <w:r>
        <w:rPr>
          <w:rFonts w:ascii="Aptos Display" w:hAnsi="Aptos Display" w:eastAsia="Aptos Display" w:cs="Aptos Display"/>
          <w:b/>
          <w:bCs/>
          <w:color w:val="17324D"/>
          <w:sz w:val="27"/>
          <w:szCs w:val="27"/>
        </w:rPr>
        <w:t>PART 1: ARCHITECTURE MAPPING</w:t>
      </w:r>
    </w:p>
    <w:p w14:paraId="2EBB5B73">
      <w:pPr>
        <w:spacing w:after="90" w:line="260" w:lineRule="auto"/>
      </w:pPr>
      <w:r>
        <w:rPr>
          <w:rFonts w:ascii="Aptos" w:hAnsi="Aptos" w:eastAsia="Aptos" w:cs="Aptos"/>
          <w:color w:val="243B53"/>
          <w:sz w:val="19"/>
          <w:szCs w:val="19"/>
        </w:rPr>
        <w:t>Describe each part of the AidLink architecture. The current mapping reflects the evaluated prototype and identifies production deployment considerations where applicable.</w:t>
      </w:r>
    </w:p>
    <w:tbl>
      <w:tblPr>
        <w:tblStyle w:val="9"/>
        <w:tblW w:w="5000" w:type="pct"/>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 w:type="dxa"/>
          <w:bottom w:w="0" w:type="dxa"/>
          <w:right w:w="10" w:type="dxa"/>
        </w:tblCellMar>
      </w:tblPr>
      <w:tblGrid>
        <w:gridCol w:w="1732"/>
        <w:gridCol w:w="13008"/>
      </w:tblGrid>
      <w:tr w14:paraId="2D05F3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shd w:val="clear" w:color="auto" w:fill="17324D"/>
            <w:tcMar>
              <w:top w:w="90" w:type="dxa"/>
              <w:left w:w="100" w:type="dxa"/>
              <w:bottom w:w="90" w:type="dxa"/>
              <w:right w:w="100" w:type="dxa"/>
            </w:tcMar>
          </w:tcPr>
          <w:p w14:paraId="7909C62B">
            <w:pPr>
              <w:spacing w:after="0" w:line="240" w:lineRule="auto"/>
            </w:pPr>
            <w:r>
              <w:rPr>
                <w:rFonts w:ascii="Aptos" w:hAnsi="Aptos" w:eastAsia="Aptos" w:cs="Aptos"/>
                <w:b/>
                <w:bCs/>
                <w:color w:val="FFFFFF"/>
                <w:sz w:val="19"/>
                <w:szCs w:val="19"/>
              </w:rPr>
              <w:t>Component</w:t>
            </w:r>
          </w:p>
        </w:tc>
        <w:tc>
          <w:tcPr>
            <w:shd w:val="clear" w:color="auto" w:fill="17324D"/>
            <w:tcMar>
              <w:top w:w="90" w:type="dxa"/>
              <w:left w:w="100" w:type="dxa"/>
              <w:bottom w:w="90" w:type="dxa"/>
              <w:right w:w="100" w:type="dxa"/>
            </w:tcMar>
          </w:tcPr>
          <w:p w14:paraId="095CD5DD">
            <w:pPr>
              <w:spacing w:after="0" w:line="240" w:lineRule="auto"/>
            </w:pPr>
            <w:r>
              <w:rPr>
                <w:rFonts w:ascii="Aptos" w:hAnsi="Aptos" w:eastAsia="Aptos" w:cs="Aptos"/>
                <w:b/>
                <w:bCs/>
                <w:color w:val="FFFFFF"/>
                <w:sz w:val="19"/>
                <w:szCs w:val="19"/>
              </w:rPr>
              <w:t>Description of AidLink's version of this component</w:t>
            </w:r>
          </w:p>
        </w:tc>
      </w:tr>
      <w:tr w14:paraId="3890A06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4F249BA2">
            <w:pPr>
              <w:spacing w:after="0" w:line="240" w:lineRule="auto"/>
            </w:pPr>
            <w:r>
              <w:rPr>
                <w:rFonts w:ascii="Aptos" w:hAnsi="Aptos" w:eastAsia="Aptos" w:cs="Aptos"/>
                <w:b w:val="0"/>
                <w:bCs w:val="0"/>
                <w:color w:val="243B53"/>
                <w:sz w:val="19"/>
                <w:szCs w:val="19"/>
              </w:rPr>
              <w:t>Client</w:t>
            </w:r>
          </w:p>
        </w:tc>
        <w:tc>
          <w:tcPr>
            <w:tcMar>
              <w:top w:w="90" w:type="dxa"/>
              <w:left w:w="100" w:type="dxa"/>
              <w:bottom w:w="90" w:type="dxa"/>
              <w:right w:w="100" w:type="dxa"/>
            </w:tcMar>
          </w:tcPr>
          <w:p w14:paraId="0823C37C">
            <w:pPr>
              <w:spacing w:after="0" w:line="240" w:lineRule="auto"/>
            </w:pPr>
            <w:r>
              <w:rPr>
                <w:rFonts w:ascii="Aptos" w:hAnsi="Aptos" w:eastAsia="Aptos" w:cs="Aptos"/>
                <w:b w:val="0"/>
                <w:bCs w:val="0"/>
                <w:color w:val="243B53"/>
                <w:sz w:val="19"/>
                <w:szCs w:val="19"/>
              </w:rPr>
              <w:t>React 18 and Vite web interface with separate applicant and administrative workflows. Applicants register, submit requests, upload documents, view status, and receive notifications. Authorized personnel review requests, documents, statuses, remarks, facilities, requirements, and activity.</w:t>
            </w:r>
          </w:p>
        </w:tc>
      </w:tr>
      <w:tr w14:paraId="2F64B46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5BD68014">
            <w:pPr>
              <w:spacing w:after="0" w:line="240" w:lineRule="auto"/>
            </w:pPr>
            <w:r>
              <w:rPr>
                <w:rFonts w:ascii="Aptos" w:hAnsi="Aptos" w:eastAsia="Aptos" w:cs="Aptos"/>
                <w:b w:val="0"/>
                <w:bCs w:val="0"/>
                <w:color w:val="243B53"/>
                <w:sz w:val="19"/>
                <w:szCs w:val="19"/>
              </w:rPr>
              <w:t>Server / Hosting</w:t>
            </w:r>
          </w:p>
        </w:tc>
        <w:tc>
          <w:tcPr>
            <w:tcMar>
              <w:top w:w="90" w:type="dxa"/>
              <w:left w:w="100" w:type="dxa"/>
              <w:bottom w:w="90" w:type="dxa"/>
              <w:right w:w="100" w:type="dxa"/>
            </w:tcMar>
          </w:tcPr>
          <w:p w14:paraId="3A8FB043">
            <w:pPr>
              <w:spacing w:after="0" w:line="240" w:lineRule="auto"/>
            </w:pPr>
            <w:r>
              <w:rPr>
                <w:rFonts w:ascii="Aptos" w:hAnsi="Aptos" w:eastAsia="Aptos" w:cs="Aptos"/>
                <w:b w:val="0"/>
                <w:bCs w:val="0"/>
                <w:color w:val="243B53"/>
                <w:sz w:val="19"/>
                <w:szCs w:val="19"/>
              </w:rPr>
              <w:t>Node.js with Express provides the API and serves the prototype workflow. The current project is suitable for controlled development and demonstration. Production should separate frontend, API, database, and private document storage behind HTTPS.</w:t>
            </w:r>
          </w:p>
        </w:tc>
      </w:tr>
      <w:tr w14:paraId="71FC722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66FC846">
            <w:pPr>
              <w:spacing w:after="0" w:line="240" w:lineRule="auto"/>
            </w:pPr>
            <w:r>
              <w:rPr>
                <w:rFonts w:ascii="Aptos" w:hAnsi="Aptos" w:eastAsia="Aptos" w:cs="Aptos"/>
                <w:b w:val="0"/>
                <w:bCs w:val="0"/>
                <w:color w:val="243B53"/>
                <w:sz w:val="19"/>
                <w:szCs w:val="19"/>
              </w:rPr>
              <w:t>Application</w:t>
            </w:r>
          </w:p>
        </w:tc>
        <w:tc>
          <w:tcPr>
            <w:tcMar>
              <w:top w:w="90" w:type="dxa"/>
              <w:left w:w="100" w:type="dxa"/>
              <w:bottom w:w="90" w:type="dxa"/>
              <w:right w:w="100" w:type="dxa"/>
            </w:tcMar>
          </w:tcPr>
          <w:p w14:paraId="14B1E227">
            <w:pPr>
              <w:spacing w:after="0" w:line="240" w:lineRule="auto"/>
            </w:pPr>
            <w:r>
              <w:rPr>
                <w:rFonts w:ascii="Aptos" w:hAnsi="Aptos" w:eastAsia="Aptos" w:cs="Aptos"/>
                <w:b w:val="0"/>
                <w:bCs w:val="0"/>
                <w:color w:val="243B53"/>
                <w:sz w:val="19"/>
                <w:szCs w:val="19"/>
              </w:rPr>
              <w:t>Express routes and application services handle authentication, role-based authorization, applicant ownership, application submission, document validation and analysis, status processing, audit logging, notifications, Guarantee Letter references, and QR-token lookup.</w:t>
            </w:r>
          </w:p>
        </w:tc>
      </w:tr>
      <w:tr w14:paraId="278935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4ACC71E2">
            <w:pPr>
              <w:spacing w:after="0" w:line="240" w:lineRule="auto"/>
            </w:pPr>
            <w:r>
              <w:rPr>
                <w:rFonts w:ascii="Aptos" w:hAnsi="Aptos" w:eastAsia="Aptos" w:cs="Aptos"/>
                <w:b w:val="0"/>
                <w:bCs w:val="0"/>
                <w:color w:val="243B53"/>
                <w:sz w:val="19"/>
                <w:szCs w:val="19"/>
              </w:rPr>
              <w:t>Database</w:t>
            </w:r>
          </w:p>
        </w:tc>
        <w:tc>
          <w:tcPr>
            <w:tcMar>
              <w:top w:w="90" w:type="dxa"/>
              <w:left w:w="100" w:type="dxa"/>
              <w:bottom w:w="90" w:type="dxa"/>
              <w:right w:w="100" w:type="dxa"/>
            </w:tcMar>
          </w:tcPr>
          <w:p w14:paraId="0991794E">
            <w:pPr>
              <w:spacing w:after="0" w:line="240" w:lineRule="auto"/>
            </w:pPr>
            <w:r>
              <w:rPr>
                <w:rFonts w:ascii="Aptos" w:hAnsi="Aptos" w:eastAsia="Aptos" w:cs="Aptos"/>
                <w:b w:val="0"/>
                <w:bCs w:val="0"/>
                <w:color w:val="243B53"/>
                <w:sz w:val="19"/>
                <w:szCs w:val="19"/>
              </w:rPr>
              <w:t>The prototype uses structured JSON-file persistence and local application storage for documents. PostgreSQL or another approved transactional database is recommended for production, with private managed document storage and defined retention.</w:t>
            </w:r>
          </w:p>
        </w:tc>
      </w:tr>
      <w:tr w14:paraId="4B2F7B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758E8406">
            <w:pPr>
              <w:spacing w:after="0" w:line="240" w:lineRule="auto"/>
            </w:pPr>
            <w:r>
              <w:rPr>
                <w:rFonts w:ascii="Aptos" w:hAnsi="Aptos" w:eastAsia="Aptos" w:cs="Aptos"/>
                <w:b w:val="0"/>
                <w:bCs w:val="0"/>
                <w:color w:val="243B53"/>
                <w:sz w:val="19"/>
                <w:szCs w:val="19"/>
              </w:rPr>
              <w:t>External Services (if any)</w:t>
            </w:r>
          </w:p>
        </w:tc>
        <w:tc>
          <w:tcPr>
            <w:tcMar>
              <w:top w:w="90" w:type="dxa"/>
              <w:left w:w="100" w:type="dxa"/>
              <w:bottom w:w="90" w:type="dxa"/>
              <w:right w:w="100" w:type="dxa"/>
            </w:tcMar>
          </w:tcPr>
          <w:p w14:paraId="5ADCD03D">
            <w:pPr>
              <w:spacing w:after="0" w:line="240" w:lineRule="auto"/>
            </w:pPr>
            <w:r>
              <w:rPr>
                <w:rFonts w:ascii="Aptos" w:hAnsi="Aptos" w:eastAsia="Aptos" w:cs="Aptos"/>
                <w:b w:val="0"/>
                <w:bCs w:val="0"/>
                <w:color w:val="243B53"/>
                <w:sz w:val="19"/>
                <w:szCs w:val="19"/>
              </w:rPr>
              <w:t>QR generation/token lookup and optional document-quality analysis are present in the prototype. External SMS/email delivery and hospital/pharmacy QR partner integration are not verified. LibreOffice may be required for DOC/DOCX Guarantee Letter conversion.</w:t>
            </w:r>
          </w:p>
        </w:tc>
      </w:tr>
    </w:tbl>
    <w:p w14:paraId="3FED14DD">
      <w:pPr>
        <w:pStyle w:val="2"/>
        <w:spacing w:before="250" w:after="110"/>
      </w:pPr>
      <w:r>
        <w:rPr>
          <w:rFonts w:ascii="Aptos Display" w:hAnsi="Aptos Display" w:eastAsia="Aptos Display" w:cs="Aptos Display"/>
          <w:b/>
          <w:bCs/>
          <w:color w:val="17324D"/>
          <w:sz w:val="27"/>
          <w:szCs w:val="27"/>
        </w:rPr>
        <w:t>PART 2: DEPLOYMENT REQUIREMENTS</w:t>
      </w:r>
    </w:p>
    <w:tbl>
      <w:tblPr>
        <w:tblStyle w:val="9"/>
        <w:tblW w:w="5000" w:type="pct"/>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 w:type="dxa"/>
          <w:bottom w:w="0" w:type="dxa"/>
          <w:right w:w="10" w:type="dxa"/>
        </w:tblCellMar>
      </w:tblPr>
      <w:tblGrid>
        <w:gridCol w:w="2237"/>
        <w:gridCol w:w="12503"/>
      </w:tblGrid>
      <w:tr w14:paraId="147544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shd w:val="clear" w:color="auto" w:fill="17324D"/>
            <w:tcMar>
              <w:top w:w="90" w:type="dxa"/>
              <w:left w:w="100" w:type="dxa"/>
              <w:bottom w:w="90" w:type="dxa"/>
              <w:right w:w="100" w:type="dxa"/>
            </w:tcMar>
          </w:tcPr>
          <w:p w14:paraId="3187F10D">
            <w:pPr>
              <w:spacing w:after="0" w:line="240" w:lineRule="auto"/>
            </w:pPr>
            <w:r>
              <w:rPr>
                <w:rFonts w:ascii="Aptos" w:hAnsi="Aptos" w:eastAsia="Aptos" w:cs="Aptos"/>
                <w:b/>
                <w:bCs/>
                <w:color w:val="FFFFFF"/>
                <w:sz w:val="19"/>
                <w:szCs w:val="19"/>
              </w:rPr>
              <w:t>Requirement</w:t>
            </w:r>
          </w:p>
        </w:tc>
        <w:tc>
          <w:tcPr>
            <w:shd w:val="clear" w:color="auto" w:fill="17324D"/>
            <w:tcMar>
              <w:top w:w="90" w:type="dxa"/>
              <w:left w:w="100" w:type="dxa"/>
              <w:bottom w:w="90" w:type="dxa"/>
              <w:right w:w="100" w:type="dxa"/>
            </w:tcMar>
          </w:tcPr>
          <w:p w14:paraId="534C4EA0">
            <w:pPr>
              <w:spacing w:after="0" w:line="240" w:lineRule="auto"/>
            </w:pPr>
            <w:r>
              <w:rPr>
                <w:rFonts w:ascii="Aptos" w:hAnsi="Aptos" w:eastAsia="Aptos" w:cs="Aptos"/>
                <w:b/>
                <w:bCs/>
                <w:color w:val="FFFFFF"/>
                <w:sz w:val="19"/>
                <w:szCs w:val="19"/>
              </w:rPr>
              <w:t>Details</w:t>
            </w:r>
          </w:p>
        </w:tc>
      </w:tr>
      <w:tr w14:paraId="25F81D1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40DC827">
            <w:pPr>
              <w:spacing w:after="0" w:line="240" w:lineRule="auto"/>
            </w:pPr>
            <w:r>
              <w:rPr>
                <w:rFonts w:ascii="Aptos" w:hAnsi="Aptos" w:eastAsia="Aptos" w:cs="Aptos"/>
                <w:b w:val="0"/>
                <w:bCs w:val="0"/>
                <w:color w:val="243B53"/>
                <w:sz w:val="19"/>
                <w:szCs w:val="19"/>
              </w:rPr>
              <w:t>Runtime/Language Version</w:t>
            </w:r>
          </w:p>
        </w:tc>
        <w:tc>
          <w:tcPr>
            <w:tcMar>
              <w:top w:w="90" w:type="dxa"/>
              <w:left w:w="100" w:type="dxa"/>
              <w:bottom w:w="90" w:type="dxa"/>
              <w:right w:w="100" w:type="dxa"/>
            </w:tcMar>
          </w:tcPr>
          <w:p w14:paraId="79C240E1">
            <w:pPr>
              <w:spacing w:after="0" w:line="240" w:lineRule="auto"/>
            </w:pPr>
            <w:r>
              <w:rPr>
                <w:rFonts w:ascii="Aptos" w:hAnsi="Aptos" w:eastAsia="Aptos" w:cs="Aptos"/>
                <w:b w:val="0"/>
                <w:bCs w:val="0"/>
                <w:color w:val="243B53"/>
                <w:sz w:val="19"/>
                <w:szCs w:val="19"/>
              </w:rPr>
              <w:t>Frontend: React 18 with Vite. Backend: Node.js with Express. Use the project dependency lock/configuration files and a supported Node.js runtime during deployment.</w:t>
            </w:r>
          </w:p>
        </w:tc>
      </w:tr>
      <w:tr w14:paraId="627B759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02999213">
            <w:pPr>
              <w:spacing w:after="0" w:line="240" w:lineRule="auto"/>
            </w:pPr>
            <w:r>
              <w:rPr>
                <w:rFonts w:ascii="Aptos" w:hAnsi="Aptos" w:eastAsia="Aptos" w:cs="Aptos"/>
                <w:b w:val="0"/>
                <w:bCs w:val="0"/>
                <w:color w:val="243B53"/>
                <w:sz w:val="19"/>
                <w:szCs w:val="19"/>
              </w:rPr>
              <w:t>Database Type</w:t>
            </w:r>
          </w:p>
        </w:tc>
        <w:tc>
          <w:tcPr>
            <w:tcMar>
              <w:top w:w="90" w:type="dxa"/>
              <w:left w:w="100" w:type="dxa"/>
              <w:bottom w:w="90" w:type="dxa"/>
              <w:right w:w="100" w:type="dxa"/>
            </w:tcMar>
          </w:tcPr>
          <w:p w14:paraId="56E5C46C">
            <w:pPr>
              <w:spacing w:after="0" w:line="240" w:lineRule="auto"/>
            </w:pPr>
            <w:r>
              <w:rPr>
                <w:rFonts w:ascii="Aptos" w:hAnsi="Aptos" w:eastAsia="Aptos" w:cs="Aptos"/>
                <w:b w:val="0"/>
                <w:bCs w:val="0"/>
                <w:color w:val="243B53"/>
                <w:sz w:val="19"/>
                <w:szCs w:val="19"/>
              </w:rPr>
              <w:t>Prototype: structured JSON data file. Production requirement: PostgreSQL or another approved transactional database with migrations, constraints, backups, and least-privilege credentials.</w:t>
            </w:r>
          </w:p>
        </w:tc>
      </w:tr>
      <w:tr w14:paraId="67C086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23DC939E">
            <w:pPr>
              <w:spacing w:after="0" w:line="240" w:lineRule="auto"/>
            </w:pPr>
            <w:r>
              <w:rPr>
                <w:rFonts w:ascii="Aptos" w:hAnsi="Aptos" w:eastAsia="Aptos" w:cs="Aptos"/>
                <w:b w:val="0"/>
                <w:bCs w:val="0"/>
                <w:color w:val="243B53"/>
                <w:sz w:val="19"/>
                <w:szCs w:val="19"/>
              </w:rPr>
              <w:t>Storage Needs</w:t>
            </w:r>
          </w:p>
        </w:tc>
        <w:tc>
          <w:tcPr>
            <w:tcMar>
              <w:top w:w="90" w:type="dxa"/>
              <w:left w:w="100" w:type="dxa"/>
              <w:bottom w:w="90" w:type="dxa"/>
              <w:right w:w="100" w:type="dxa"/>
            </w:tcMar>
          </w:tcPr>
          <w:p w14:paraId="7D229399">
            <w:pPr>
              <w:spacing w:after="0" w:line="240" w:lineRule="auto"/>
            </w:pPr>
            <w:r>
              <w:rPr>
                <w:rFonts w:ascii="Aptos" w:hAnsi="Aptos" w:eastAsia="Aptos" w:cs="Aptos"/>
                <w:b w:val="0"/>
                <w:bCs w:val="0"/>
                <w:color w:val="243B53"/>
                <w:sz w:val="19"/>
                <w:szCs w:val="19"/>
              </w:rPr>
              <w:t>Durable private storage for applicant uploads and protected Guarantee Letter originals/converted files. Production storage must support access control, retention, deletion, backup, and malware scanning.</w:t>
            </w:r>
          </w:p>
        </w:tc>
      </w:tr>
      <w:tr w14:paraId="7FD508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4B5737B">
            <w:pPr>
              <w:spacing w:after="0" w:line="240" w:lineRule="auto"/>
            </w:pPr>
            <w:r>
              <w:rPr>
                <w:rFonts w:ascii="Aptos" w:hAnsi="Aptos" w:eastAsia="Aptos" w:cs="Aptos"/>
                <w:b w:val="0"/>
                <w:bCs w:val="0"/>
                <w:color w:val="243B53"/>
                <w:sz w:val="19"/>
                <w:szCs w:val="19"/>
              </w:rPr>
              <w:t>Environment Variables Needed</w:t>
            </w:r>
          </w:p>
        </w:tc>
        <w:tc>
          <w:tcPr>
            <w:tcMar>
              <w:top w:w="90" w:type="dxa"/>
              <w:left w:w="100" w:type="dxa"/>
              <w:bottom w:w="90" w:type="dxa"/>
              <w:right w:w="100" w:type="dxa"/>
            </w:tcMar>
          </w:tcPr>
          <w:p w14:paraId="43D6F5F5">
            <w:pPr>
              <w:spacing w:after="0" w:line="240" w:lineRule="auto"/>
            </w:pPr>
            <w:r>
              <w:rPr>
                <w:rFonts w:ascii="Aptos" w:hAnsi="Aptos" w:eastAsia="Aptos" w:cs="Aptos"/>
                <w:b w:val="0"/>
                <w:bCs w:val="0"/>
                <w:color w:val="243B53"/>
                <w:sz w:val="19"/>
                <w:szCs w:val="19"/>
              </w:rPr>
              <w:t>VITE_API_BASE_URL; PORT; AIDLINK_PUBLIC_BASE_URL; AIDLINK_DATA_PATH; AIDLINK_UPLOADS_PATH; AIDLINK_LETTERS_PATH; AIDLINK_TOKEN_SECRET; AIDLINK_MFA_ENCRYPTION_SECRET; AIDLINK_MFA_AUDIT_SECRET; AIDLINK_SMS_STATUS_SECRET; AIDLINK_LIBREOFFICE_PATH.</w:t>
            </w:r>
          </w:p>
        </w:tc>
      </w:tr>
      <w:tr w14:paraId="43C2F6B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7C6139B">
            <w:pPr>
              <w:spacing w:after="0" w:line="240" w:lineRule="auto"/>
            </w:pPr>
            <w:r>
              <w:rPr>
                <w:rFonts w:ascii="Aptos" w:hAnsi="Aptos" w:eastAsia="Aptos" w:cs="Aptos"/>
                <w:b w:val="0"/>
                <w:bCs w:val="0"/>
                <w:color w:val="243B53"/>
                <w:sz w:val="19"/>
                <w:szCs w:val="19"/>
              </w:rPr>
              <w:t>Third-Party Keys Needed</w:t>
            </w:r>
          </w:p>
        </w:tc>
        <w:tc>
          <w:tcPr>
            <w:tcMar>
              <w:top w:w="90" w:type="dxa"/>
              <w:left w:w="100" w:type="dxa"/>
              <w:bottom w:w="90" w:type="dxa"/>
              <w:right w:w="100" w:type="dxa"/>
            </w:tcMar>
          </w:tcPr>
          <w:p w14:paraId="7DD1326C">
            <w:pPr>
              <w:spacing w:after="0" w:line="240" w:lineRule="auto"/>
            </w:pPr>
            <w:r>
              <w:rPr>
                <w:rFonts w:ascii="Aptos" w:hAnsi="Aptos" w:eastAsia="Aptos" w:cs="Aptos"/>
                <w:b w:val="0"/>
                <w:bCs w:val="0"/>
                <w:color w:val="243B53"/>
                <w:sz w:val="19"/>
                <w:szCs w:val="19"/>
              </w:rPr>
              <w:t>No verified external provider key is required for the current prototype. A production SMS provider credential and trusted callback secret will be needed if SMS delivery is enabled. Any external identity or partner-verification integration requires approved credentials and agreements.</w:t>
            </w:r>
          </w:p>
        </w:tc>
      </w:tr>
    </w:tbl>
    <w:p w14:paraId="153DBA06">
      <w:pPr>
        <w:pStyle w:val="2"/>
        <w:spacing w:before="250" w:after="110"/>
      </w:pPr>
      <w:r>
        <w:rPr>
          <w:rFonts w:ascii="Aptos Display" w:hAnsi="Aptos Display" w:eastAsia="Aptos Display" w:cs="Aptos Display"/>
          <w:b/>
          <w:bCs/>
          <w:color w:val="17324D"/>
          <w:sz w:val="27"/>
          <w:szCs w:val="27"/>
        </w:rPr>
        <w:t>PART 3: HOSTING / DATABASE CONFIGURATION CHECK</w:t>
      </w:r>
    </w:p>
    <w:tbl>
      <w:tblPr>
        <w:tblStyle w:val="9"/>
        <w:tblW w:w="5000" w:type="pct"/>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 w:type="dxa"/>
          <w:bottom w:w="0" w:type="dxa"/>
          <w:right w:w="10" w:type="dxa"/>
        </w:tblCellMar>
      </w:tblPr>
      <w:tblGrid>
        <w:gridCol w:w="2968"/>
        <w:gridCol w:w="1306"/>
        <w:gridCol w:w="10466"/>
      </w:tblGrid>
      <w:tr w14:paraId="23BBF28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shd w:val="clear" w:color="auto" w:fill="17324D"/>
            <w:tcMar>
              <w:top w:w="90" w:type="dxa"/>
              <w:left w:w="100" w:type="dxa"/>
              <w:bottom w:w="90" w:type="dxa"/>
              <w:right w:w="100" w:type="dxa"/>
            </w:tcMar>
          </w:tcPr>
          <w:p w14:paraId="4418AEDB">
            <w:pPr>
              <w:spacing w:after="0" w:line="240" w:lineRule="auto"/>
            </w:pPr>
            <w:r>
              <w:rPr>
                <w:rFonts w:ascii="Aptos" w:hAnsi="Aptos" w:eastAsia="Aptos" w:cs="Aptos"/>
                <w:b/>
                <w:bCs/>
                <w:color w:val="FFFFFF"/>
                <w:sz w:val="19"/>
                <w:szCs w:val="19"/>
              </w:rPr>
              <w:t>Item</w:t>
            </w:r>
          </w:p>
        </w:tc>
        <w:tc>
          <w:tcPr>
            <w:shd w:val="clear" w:color="auto" w:fill="17324D"/>
            <w:tcMar>
              <w:top w:w="90" w:type="dxa"/>
              <w:left w:w="100" w:type="dxa"/>
              <w:bottom w:w="90" w:type="dxa"/>
              <w:right w:w="100" w:type="dxa"/>
            </w:tcMar>
          </w:tcPr>
          <w:p w14:paraId="3FD12C24">
            <w:pPr>
              <w:spacing w:after="0" w:line="240" w:lineRule="auto"/>
            </w:pPr>
            <w:r>
              <w:rPr>
                <w:rFonts w:ascii="Aptos" w:hAnsi="Aptos" w:eastAsia="Aptos" w:cs="Aptos"/>
                <w:b/>
                <w:bCs/>
                <w:color w:val="FFFFFF"/>
                <w:sz w:val="19"/>
                <w:szCs w:val="19"/>
              </w:rPr>
              <w:t>Status</w:t>
            </w:r>
          </w:p>
        </w:tc>
        <w:tc>
          <w:tcPr>
            <w:shd w:val="clear" w:color="auto" w:fill="17324D"/>
            <w:tcMar>
              <w:top w:w="90" w:type="dxa"/>
              <w:left w:w="100" w:type="dxa"/>
              <w:bottom w:w="90" w:type="dxa"/>
              <w:right w:w="100" w:type="dxa"/>
            </w:tcMar>
          </w:tcPr>
          <w:p w14:paraId="15F72B84">
            <w:pPr>
              <w:spacing w:after="0" w:line="240" w:lineRule="auto"/>
            </w:pPr>
            <w:r>
              <w:rPr>
                <w:rFonts w:ascii="Aptos" w:hAnsi="Aptos" w:eastAsia="Aptos" w:cs="Aptos"/>
                <w:b/>
                <w:bCs/>
                <w:color w:val="FFFFFF"/>
                <w:sz w:val="19"/>
                <w:szCs w:val="19"/>
              </w:rPr>
              <w:t>Notes</w:t>
            </w:r>
          </w:p>
        </w:tc>
      </w:tr>
      <w:tr w14:paraId="755943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7DBE0B2A">
            <w:pPr>
              <w:spacing w:after="0" w:line="240" w:lineRule="auto"/>
            </w:pPr>
            <w:r>
              <w:rPr>
                <w:rFonts w:ascii="Aptos" w:hAnsi="Aptos" w:eastAsia="Aptos" w:cs="Aptos"/>
                <w:b w:val="0"/>
                <w:bCs w:val="0"/>
                <w:color w:val="243B53"/>
                <w:sz w:val="19"/>
                <w:szCs w:val="19"/>
              </w:rPr>
              <w:t>Hosting account/provider selected</w:t>
            </w:r>
          </w:p>
        </w:tc>
        <w:tc>
          <w:tcPr>
            <w:tcMar>
              <w:top w:w="90" w:type="dxa"/>
              <w:left w:w="100" w:type="dxa"/>
              <w:bottom w:w="90" w:type="dxa"/>
              <w:right w:w="100" w:type="dxa"/>
            </w:tcMar>
          </w:tcPr>
          <w:p w14:paraId="210EBF59">
            <w:pPr>
              <w:spacing w:after="0" w:line="240" w:lineRule="auto"/>
            </w:pPr>
            <w:r>
              <w:rPr>
                <w:rFonts w:ascii="Aptos" w:hAnsi="Aptos" w:eastAsia="Aptos" w:cs="Aptos"/>
                <w:b w:val="0"/>
                <w:bCs w:val="0"/>
                <w:color w:val="243B53"/>
                <w:sz w:val="19"/>
                <w:szCs w:val="19"/>
              </w:rPr>
              <w:t>Pending</w:t>
            </w:r>
          </w:p>
        </w:tc>
        <w:tc>
          <w:tcPr>
            <w:tcMar>
              <w:top w:w="90" w:type="dxa"/>
              <w:left w:w="100" w:type="dxa"/>
              <w:bottom w:w="90" w:type="dxa"/>
              <w:right w:w="100" w:type="dxa"/>
            </w:tcMar>
          </w:tcPr>
          <w:p w14:paraId="610B515E">
            <w:pPr>
              <w:spacing w:after="0" w:line="240" w:lineRule="auto"/>
            </w:pPr>
            <w:r>
              <w:rPr>
                <w:rFonts w:ascii="Aptos" w:hAnsi="Aptos" w:eastAsia="Aptos" w:cs="Aptos"/>
                <w:b w:val="0"/>
                <w:bCs w:val="0"/>
                <w:color w:val="243B53"/>
                <w:sz w:val="19"/>
                <w:szCs w:val="19"/>
              </w:rPr>
              <w:t>The prototype runs in a controlled local/development environment. A production hosting provider and deployment owner have not been evidenced in the manuscript.</w:t>
            </w:r>
          </w:p>
        </w:tc>
      </w:tr>
      <w:tr w14:paraId="73D50A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6FD089F">
            <w:pPr>
              <w:spacing w:after="0" w:line="240" w:lineRule="auto"/>
            </w:pPr>
            <w:r>
              <w:rPr>
                <w:rFonts w:ascii="Aptos" w:hAnsi="Aptos" w:eastAsia="Aptos" w:cs="Aptos"/>
                <w:b w:val="0"/>
                <w:bCs w:val="0"/>
                <w:color w:val="243B53"/>
                <w:sz w:val="19"/>
                <w:szCs w:val="19"/>
              </w:rPr>
              <w:t>Production database created</w:t>
            </w:r>
          </w:p>
        </w:tc>
        <w:tc>
          <w:tcPr>
            <w:tcMar>
              <w:top w:w="90" w:type="dxa"/>
              <w:left w:w="100" w:type="dxa"/>
              <w:bottom w:w="90" w:type="dxa"/>
              <w:right w:w="100" w:type="dxa"/>
            </w:tcMar>
          </w:tcPr>
          <w:p w14:paraId="391E1EAA">
            <w:pPr>
              <w:spacing w:after="0" w:line="240" w:lineRule="auto"/>
            </w:pPr>
            <w:r>
              <w:rPr>
                <w:rFonts w:ascii="Aptos" w:hAnsi="Aptos" w:eastAsia="Aptos" w:cs="Aptos"/>
                <w:b w:val="0"/>
                <w:bCs w:val="0"/>
                <w:color w:val="243B53"/>
                <w:sz w:val="19"/>
                <w:szCs w:val="19"/>
              </w:rPr>
              <w:t>Not ready</w:t>
            </w:r>
          </w:p>
        </w:tc>
        <w:tc>
          <w:tcPr>
            <w:tcMar>
              <w:top w:w="90" w:type="dxa"/>
              <w:left w:w="100" w:type="dxa"/>
              <w:bottom w:w="90" w:type="dxa"/>
              <w:right w:w="100" w:type="dxa"/>
            </w:tcMar>
          </w:tcPr>
          <w:p w14:paraId="0E0BD2B2">
            <w:pPr>
              <w:spacing w:after="0" w:line="240" w:lineRule="auto"/>
            </w:pPr>
            <w:r>
              <w:rPr>
                <w:rFonts w:ascii="Aptos" w:hAnsi="Aptos" w:eastAsia="Aptos" w:cs="Aptos"/>
                <w:b w:val="0"/>
                <w:bCs w:val="0"/>
                <w:color w:val="243B53"/>
                <w:sz w:val="19"/>
                <w:szCs w:val="19"/>
              </w:rPr>
              <w:t>The prototype uses JSON-file persistence. Migrate to PostgreSQL or another approved transactional database before operational deployment.</w:t>
            </w:r>
          </w:p>
        </w:tc>
      </w:tr>
      <w:tr w14:paraId="2E5BC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50749B8C">
            <w:pPr>
              <w:spacing w:after="0" w:line="240" w:lineRule="auto"/>
            </w:pPr>
            <w:r>
              <w:rPr>
                <w:rFonts w:ascii="Aptos" w:hAnsi="Aptos" w:eastAsia="Aptos" w:cs="Aptos"/>
                <w:b w:val="0"/>
                <w:bCs w:val="0"/>
                <w:color w:val="243B53"/>
                <w:sz w:val="19"/>
                <w:szCs w:val="19"/>
              </w:rPr>
              <w:t>Database structure/data ready to import</w:t>
            </w:r>
          </w:p>
        </w:tc>
        <w:tc>
          <w:tcPr>
            <w:tcMar>
              <w:top w:w="90" w:type="dxa"/>
              <w:left w:w="100" w:type="dxa"/>
              <w:bottom w:w="90" w:type="dxa"/>
              <w:right w:w="100" w:type="dxa"/>
            </w:tcMar>
          </w:tcPr>
          <w:p w14:paraId="530142C4">
            <w:pPr>
              <w:spacing w:after="0" w:line="240" w:lineRule="auto"/>
            </w:pPr>
            <w:r>
              <w:rPr>
                <w:rFonts w:ascii="Aptos" w:hAnsi="Aptos" w:eastAsia="Aptos" w:cs="Aptos"/>
                <w:b w:val="0"/>
                <w:bCs w:val="0"/>
                <w:color w:val="243B53"/>
                <w:sz w:val="19"/>
                <w:szCs w:val="19"/>
              </w:rPr>
              <w:t>Partial</w:t>
            </w:r>
          </w:p>
        </w:tc>
        <w:tc>
          <w:tcPr>
            <w:tcMar>
              <w:top w:w="90" w:type="dxa"/>
              <w:left w:w="100" w:type="dxa"/>
              <w:bottom w:w="90" w:type="dxa"/>
              <w:right w:w="100" w:type="dxa"/>
            </w:tcMar>
          </w:tcPr>
          <w:p w14:paraId="40EF4B92">
            <w:pPr>
              <w:spacing w:after="0" w:line="240" w:lineRule="auto"/>
            </w:pPr>
            <w:r>
              <w:rPr>
                <w:rFonts w:ascii="Aptos" w:hAnsi="Aptos" w:eastAsia="Aptos" w:cs="Aptos"/>
                <w:b w:val="0"/>
                <w:bCs w:val="0"/>
                <w:color w:val="243B53"/>
                <w:sz w:val="19"/>
                <w:szCs w:val="19"/>
              </w:rPr>
              <w:t>Existing JSON records and structures are available for migration planning, but field reconciliation, migration scripts, constraints, and validation are still required.</w:t>
            </w:r>
          </w:p>
        </w:tc>
      </w:tr>
      <w:tr w14:paraId="7BF1B8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B1B9499">
            <w:pPr>
              <w:spacing w:after="0" w:line="240" w:lineRule="auto"/>
            </w:pPr>
            <w:r>
              <w:rPr>
                <w:rFonts w:ascii="Aptos" w:hAnsi="Aptos" w:eastAsia="Aptos" w:cs="Aptos"/>
                <w:b w:val="0"/>
                <w:bCs w:val="0"/>
                <w:color w:val="243B53"/>
                <w:sz w:val="19"/>
                <w:szCs w:val="19"/>
              </w:rPr>
              <w:t>Domain/URL identified</w:t>
            </w:r>
          </w:p>
        </w:tc>
        <w:tc>
          <w:tcPr>
            <w:tcMar>
              <w:top w:w="90" w:type="dxa"/>
              <w:left w:w="100" w:type="dxa"/>
              <w:bottom w:w="90" w:type="dxa"/>
              <w:right w:w="100" w:type="dxa"/>
            </w:tcMar>
          </w:tcPr>
          <w:p w14:paraId="6F175A1D">
            <w:pPr>
              <w:spacing w:after="0" w:line="240" w:lineRule="auto"/>
            </w:pPr>
            <w:r>
              <w:rPr>
                <w:rFonts w:ascii="Aptos" w:hAnsi="Aptos" w:eastAsia="Aptos" w:cs="Aptos"/>
                <w:b w:val="0"/>
                <w:bCs w:val="0"/>
                <w:color w:val="243B53"/>
                <w:sz w:val="19"/>
                <w:szCs w:val="19"/>
              </w:rPr>
              <w:t>Pending</w:t>
            </w:r>
          </w:p>
        </w:tc>
        <w:tc>
          <w:tcPr>
            <w:tcMar>
              <w:top w:w="90" w:type="dxa"/>
              <w:left w:w="100" w:type="dxa"/>
              <w:bottom w:w="90" w:type="dxa"/>
              <w:right w:w="100" w:type="dxa"/>
            </w:tcMar>
          </w:tcPr>
          <w:p w14:paraId="22B2B554">
            <w:pPr>
              <w:spacing w:after="0" w:line="240" w:lineRule="auto"/>
            </w:pPr>
            <w:r>
              <w:rPr>
                <w:rFonts w:ascii="Aptos" w:hAnsi="Aptos" w:eastAsia="Aptos" w:cs="Aptos"/>
                <w:b w:val="0"/>
                <w:bCs w:val="0"/>
                <w:color w:val="243B53"/>
                <w:sz w:val="19"/>
                <w:szCs w:val="19"/>
              </w:rPr>
              <w:t>A public production URL is not established. Configure AIDLINK_PUBLIC_BASE_URL when an approved domain is assigned.</w:t>
            </w:r>
          </w:p>
        </w:tc>
      </w:tr>
      <w:tr w14:paraId="5E22DE5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7264A7D5">
            <w:pPr>
              <w:spacing w:after="0" w:line="240" w:lineRule="auto"/>
            </w:pPr>
            <w:r>
              <w:rPr>
                <w:rFonts w:ascii="Aptos" w:hAnsi="Aptos" w:eastAsia="Aptos" w:cs="Aptos"/>
                <w:b w:val="0"/>
                <w:bCs w:val="0"/>
                <w:color w:val="243B53"/>
                <w:sz w:val="19"/>
                <w:szCs w:val="19"/>
              </w:rPr>
              <w:t>SSL/HTTPS availability confirmed</w:t>
            </w:r>
          </w:p>
        </w:tc>
        <w:tc>
          <w:tcPr>
            <w:tcMar>
              <w:top w:w="90" w:type="dxa"/>
              <w:left w:w="100" w:type="dxa"/>
              <w:bottom w:w="90" w:type="dxa"/>
              <w:right w:w="100" w:type="dxa"/>
            </w:tcMar>
          </w:tcPr>
          <w:p w14:paraId="60C2A1F1">
            <w:pPr>
              <w:spacing w:after="0" w:line="240" w:lineRule="auto"/>
            </w:pPr>
            <w:r>
              <w:rPr>
                <w:rFonts w:ascii="Aptos" w:hAnsi="Aptos" w:eastAsia="Aptos" w:cs="Aptos"/>
                <w:b w:val="0"/>
                <w:bCs w:val="0"/>
                <w:color w:val="243B53"/>
                <w:sz w:val="19"/>
                <w:szCs w:val="19"/>
              </w:rPr>
              <w:t>Not confirmed</w:t>
            </w:r>
          </w:p>
        </w:tc>
        <w:tc>
          <w:tcPr>
            <w:tcMar>
              <w:top w:w="90" w:type="dxa"/>
              <w:left w:w="100" w:type="dxa"/>
              <w:bottom w:w="90" w:type="dxa"/>
              <w:right w:w="100" w:type="dxa"/>
            </w:tcMar>
          </w:tcPr>
          <w:p w14:paraId="3B753FAA">
            <w:pPr>
              <w:spacing w:after="0" w:line="240" w:lineRule="auto"/>
            </w:pPr>
            <w:r>
              <w:rPr>
                <w:rFonts w:ascii="Aptos" w:hAnsi="Aptos" w:eastAsia="Aptos" w:cs="Aptos"/>
                <w:b w:val="0"/>
                <w:bCs w:val="0"/>
                <w:color w:val="243B53"/>
                <w:sz w:val="19"/>
                <w:szCs w:val="19"/>
              </w:rPr>
              <w:t>HTTPS is required before internet-facing deployment; it is not established by the current prototype configuration.</w:t>
            </w:r>
          </w:p>
        </w:tc>
      </w:tr>
    </w:tbl>
    <w:p w14:paraId="3CC91369">
      <w:pPr>
        <w:pStyle w:val="2"/>
        <w:spacing w:before="250" w:after="110"/>
      </w:pPr>
      <w:r>
        <w:rPr>
          <w:rFonts w:ascii="Aptos Display" w:hAnsi="Aptos Display" w:eastAsia="Aptos Display" w:cs="Aptos Display"/>
          <w:b/>
          <w:bCs/>
          <w:color w:val="17324D"/>
          <w:sz w:val="27"/>
          <w:szCs w:val="27"/>
        </w:rPr>
        <w:t>PART 4: DRAFT DEPLOYMENT CHECKLIST</w:t>
      </w:r>
    </w:p>
    <w:p w14:paraId="147ED61D">
      <w:pPr>
        <w:spacing w:after="90" w:line="260" w:lineRule="auto"/>
      </w:pPr>
      <w:r>
        <w:rPr>
          <w:rFonts w:ascii="Aptos" w:hAnsi="Aptos" w:eastAsia="Aptos" w:cs="Aptos"/>
          <w:color w:val="243B53"/>
          <w:sz w:val="19"/>
          <w:szCs w:val="19"/>
        </w:rPr>
        <w:t>Ordered steps the AidLink group will follow for deployment on Day 3.</w:t>
      </w:r>
    </w:p>
    <w:tbl>
      <w:tblPr>
        <w:tblStyle w:val="9"/>
        <w:tblW w:w="5000" w:type="pct"/>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 w:type="dxa"/>
          <w:bottom w:w="0" w:type="dxa"/>
          <w:right w:w="10" w:type="dxa"/>
        </w:tblCellMar>
      </w:tblPr>
      <w:tblGrid>
        <w:gridCol w:w="739"/>
        <w:gridCol w:w="14001"/>
      </w:tblGrid>
      <w:tr w14:paraId="4BCDB2F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shd w:val="clear" w:color="auto" w:fill="17324D"/>
            <w:tcMar>
              <w:top w:w="90" w:type="dxa"/>
              <w:left w:w="100" w:type="dxa"/>
              <w:bottom w:w="90" w:type="dxa"/>
              <w:right w:w="100" w:type="dxa"/>
            </w:tcMar>
          </w:tcPr>
          <w:p w14:paraId="5956F8AA">
            <w:pPr>
              <w:spacing w:after="0" w:line="240" w:lineRule="auto"/>
            </w:pPr>
            <w:r>
              <w:rPr>
                <w:rFonts w:ascii="Aptos" w:hAnsi="Aptos" w:eastAsia="Aptos" w:cs="Aptos"/>
                <w:b/>
                <w:bCs/>
                <w:color w:val="FFFFFF"/>
                <w:sz w:val="19"/>
                <w:szCs w:val="19"/>
              </w:rPr>
              <w:t>Step #</w:t>
            </w:r>
          </w:p>
        </w:tc>
        <w:tc>
          <w:tcPr>
            <w:shd w:val="clear" w:color="auto" w:fill="17324D"/>
            <w:tcMar>
              <w:top w:w="90" w:type="dxa"/>
              <w:left w:w="100" w:type="dxa"/>
              <w:bottom w:w="90" w:type="dxa"/>
              <w:right w:w="100" w:type="dxa"/>
            </w:tcMar>
          </w:tcPr>
          <w:p w14:paraId="2E7BB191">
            <w:pPr>
              <w:spacing w:after="0" w:line="240" w:lineRule="auto"/>
            </w:pPr>
            <w:r>
              <w:rPr>
                <w:rFonts w:ascii="Aptos" w:hAnsi="Aptos" w:eastAsia="Aptos" w:cs="Aptos"/>
                <w:b/>
                <w:bCs/>
                <w:color w:val="FFFFFF"/>
                <w:sz w:val="19"/>
                <w:szCs w:val="19"/>
              </w:rPr>
              <w:t>Action</w:t>
            </w:r>
          </w:p>
        </w:tc>
      </w:tr>
      <w:tr w14:paraId="1F09CF7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BF15AFB">
            <w:pPr>
              <w:spacing w:after="0" w:line="240" w:lineRule="auto"/>
            </w:pPr>
            <w:r>
              <w:rPr>
                <w:rFonts w:ascii="Aptos" w:hAnsi="Aptos" w:eastAsia="Aptos" w:cs="Aptos"/>
                <w:b w:val="0"/>
                <w:bCs w:val="0"/>
                <w:color w:val="243B53"/>
                <w:sz w:val="19"/>
                <w:szCs w:val="19"/>
              </w:rPr>
              <w:t>1</w:t>
            </w:r>
          </w:p>
        </w:tc>
        <w:tc>
          <w:tcPr>
            <w:tcMar>
              <w:top w:w="90" w:type="dxa"/>
              <w:left w:w="100" w:type="dxa"/>
              <w:bottom w:w="90" w:type="dxa"/>
              <w:right w:w="100" w:type="dxa"/>
            </w:tcMar>
          </w:tcPr>
          <w:p w14:paraId="170A5765">
            <w:pPr>
              <w:spacing w:after="0" w:line="240" w:lineRule="auto"/>
            </w:pPr>
            <w:r>
              <w:rPr>
                <w:rFonts w:ascii="Aptos" w:hAnsi="Aptos" w:eastAsia="Aptos" w:cs="Aptos"/>
                <w:b w:val="0"/>
                <w:bCs w:val="0"/>
                <w:color w:val="243B53"/>
                <w:sz w:val="19"/>
                <w:szCs w:val="19"/>
              </w:rPr>
              <w:t>Confirm the approved deployment target, hosting provider, domain/URL, deployment owner, and responsible administrator.</w:t>
            </w:r>
          </w:p>
        </w:tc>
      </w:tr>
      <w:tr w14:paraId="67E87F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1DCFCF5C">
            <w:pPr>
              <w:spacing w:after="0" w:line="240" w:lineRule="auto"/>
            </w:pPr>
            <w:r>
              <w:rPr>
                <w:rFonts w:ascii="Aptos" w:hAnsi="Aptos" w:eastAsia="Aptos" w:cs="Aptos"/>
                <w:b w:val="0"/>
                <w:bCs w:val="0"/>
                <w:color w:val="243B53"/>
                <w:sz w:val="19"/>
                <w:szCs w:val="19"/>
              </w:rPr>
              <w:t>2</w:t>
            </w:r>
          </w:p>
        </w:tc>
        <w:tc>
          <w:tcPr>
            <w:tcMar>
              <w:top w:w="90" w:type="dxa"/>
              <w:left w:w="100" w:type="dxa"/>
              <w:bottom w:w="90" w:type="dxa"/>
              <w:right w:w="100" w:type="dxa"/>
            </w:tcMar>
          </w:tcPr>
          <w:p w14:paraId="4500F9DB">
            <w:pPr>
              <w:spacing w:after="0" w:line="240" w:lineRule="auto"/>
            </w:pPr>
            <w:r>
              <w:rPr>
                <w:rFonts w:ascii="Aptos" w:hAnsi="Aptos" w:eastAsia="Aptos" w:cs="Aptos"/>
                <w:b w:val="0"/>
                <w:bCs w:val="0"/>
                <w:color w:val="243B53"/>
                <w:sz w:val="19"/>
                <w:szCs w:val="19"/>
              </w:rPr>
              <w:t>Prepare the production runtime and configuration: supported Node.js environment, frontend build settings, API URL, HTTPS, and secure environment variables.</w:t>
            </w:r>
          </w:p>
        </w:tc>
      </w:tr>
      <w:tr w14:paraId="05C4D7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6399B71E">
            <w:pPr>
              <w:spacing w:after="0" w:line="240" w:lineRule="auto"/>
            </w:pPr>
            <w:r>
              <w:rPr>
                <w:rFonts w:ascii="Aptos" w:hAnsi="Aptos" w:eastAsia="Aptos" w:cs="Aptos"/>
                <w:b w:val="0"/>
                <w:bCs w:val="0"/>
                <w:color w:val="243B53"/>
                <w:sz w:val="19"/>
                <w:szCs w:val="19"/>
              </w:rPr>
              <w:t>3</w:t>
            </w:r>
          </w:p>
        </w:tc>
        <w:tc>
          <w:tcPr>
            <w:tcMar>
              <w:top w:w="90" w:type="dxa"/>
              <w:left w:w="100" w:type="dxa"/>
              <w:bottom w:w="90" w:type="dxa"/>
              <w:right w:w="100" w:type="dxa"/>
            </w:tcMar>
          </w:tcPr>
          <w:p w14:paraId="13523C72">
            <w:pPr>
              <w:spacing w:after="0" w:line="240" w:lineRule="auto"/>
            </w:pPr>
            <w:r>
              <w:rPr>
                <w:rFonts w:ascii="Aptos" w:hAnsi="Aptos" w:eastAsia="Aptos" w:cs="Aptos"/>
                <w:b w:val="0"/>
                <w:bCs w:val="0"/>
                <w:color w:val="243B53"/>
                <w:sz w:val="19"/>
                <w:szCs w:val="19"/>
              </w:rPr>
              <w:t>Create the production database and private document storage, then apply the approved schema, constraints, access permissions, retention rules, and migration plan.</w:t>
            </w:r>
          </w:p>
        </w:tc>
      </w:tr>
      <w:tr w14:paraId="31BFEDA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09C4C9BC">
            <w:pPr>
              <w:spacing w:after="0" w:line="240" w:lineRule="auto"/>
            </w:pPr>
            <w:r>
              <w:rPr>
                <w:rFonts w:ascii="Aptos" w:hAnsi="Aptos" w:eastAsia="Aptos" w:cs="Aptos"/>
                <w:b w:val="0"/>
                <w:bCs w:val="0"/>
                <w:color w:val="243B53"/>
                <w:sz w:val="19"/>
                <w:szCs w:val="19"/>
              </w:rPr>
              <w:t>4</w:t>
            </w:r>
          </w:p>
        </w:tc>
        <w:tc>
          <w:tcPr>
            <w:tcMar>
              <w:top w:w="90" w:type="dxa"/>
              <w:left w:w="100" w:type="dxa"/>
              <w:bottom w:w="90" w:type="dxa"/>
              <w:right w:w="100" w:type="dxa"/>
            </w:tcMar>
          </w:tcPr>
          <w:p w14:paraId="38B644E7">
            <w:pPr>
              <w:spacing w:after="0" w:line="240" w:lineRule="auto"/>
            </w:pPr>
            <w:r>
              <w:rPr>
                <w:rFonts w:ascii="Aptos" w:hAnsi="Aptos" w:eastAsia="Aptos" w:cs="Aptos"/>
                <w:b w:val="0"/>
                <w:bCs w:val="0"/>
                <w:color w:val="243B53"/>
                <w:sz w:val="19"/>
                <w:szCs w:val="19"/>
              </w:rPr>
              <w:t>Migrate only approved non-sensitive or authorized data, validate record counts and relationships, and preserve a recoverable backup of the prototype data.</w:t>
            </w:r>
          </w:p>
        </w:tc>
      </w:tr>
      <w:tr w14:paraId="1B58C54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268A30AD">
            <w:pPr>
              <w:spacing w:after="0" w:line="240" w:lineRule="auto"/>
            </w:pPr>
            <w:r>
              <w:rPr>
                <w:rFonts w:ascii="Aptos" w:hAnsi="Aptos" w:eastAsia="Aptos" w:cs="Aptos"/>
                <w:b w:val="0"/>
                <w:bCs w:val="0"/>
                <w:color w:val="243B53"/>
                <w:sz w:val="19"/>
                <w:szCs w:val="19"/>
              </w:rPr>
              <w:t>5</w:t>
            </w:r>
          </w:p>
        </w:tc>
        <w:tc>
          <w:tcPr>
            <w:tcMar>
              <w:top w:w="90" w:type="dxa"/>
              <w:left w:w="100" w:type="dxa"/>
              <w:bottom w:w="90" w:type="dxa"/>
              <w:right w:w="100" w:type="dxa"/>
            </w:tcMar>
          </w:tcPr>
          <w:p w14:paraId="6C43E251">
            <w:pPr>
              <w:spacing w:after="0" w:line="240" w:lineRule="auto"/>
            </w:pPr>
            <w:r>
              <w:rPr>
                <w:rFonts w:ascii="Aptos" w:hAnsi="Aptos" w:eastAsia="Aptos" w:cs="Aptos"/>
                <w:b w:val="0"/>
                <w:bCs w:val="0"/>
                <w:color w:val="243B53"/>
                <w:sz w:val="19"/>
                <w:szCs w:val="19"/>
              </w:rPr>
              <w:t>Deploy the frontend and Express API, configure private uploads and Guarantee Letter storage, and verify authentication, role permissions, applicant ownership, document access, and QR behavior.</w:t>
            </w:r>
          </w:p>
        </w:tc>
      </w:tr>
      <w:tr w14:paraId="117ED1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 w:type="dxa"/>
            <w:bottom w:w="0" w:type="dxa"/>
            <w:right w:w="10" w:type="dxa"/>
          </w:tblCellMar>
        </w:tblPrEx>
        <w:tc>
          <w:tcPr>
            <w:tcMar>
              <w:top w:w="90" w:type="dxa"/>
              <w:left w:w="100" w:type="dxa"/>
              <w:bottom w:w="90" w:type="dxa"/>
              <w:right w:w="100" w:type="dxa"/>
            </w:tcMar>
          </w:tcPr>
          <w:p w14:paraId="3673B099">
            <w:pPr>
              <w:spacing w:after="0" w:line="240" w:lineRule="auto"/>
            </w:pPr>
            <w:r>
              <w:rPr>
                <w:rFonts w:ascii="Aptos" w:hAnsi="Aptos" w:eastAsia="Aptos" w:cs="Aptos"/>
                <w:b w:val="0"/>
                <w:bCs w:val="0"/>
                <w:color w:val="243B53"/>
                <w:sz w:val="19"/>
                <w:szCs w:val="19"/>
              </w:rPr>
              <w:t>6</w:t>
            </w:r>
          </w:p>
        </w:tc>
        <w:tc>
          <w:tcPr>
            <w:tcMar>
              <w:top w:w="90" w:type="dxa"/>
              <w:left w:w="100" w:type="dxa"/>
              <w:bottom w:w="90" w:type="dxa"/>
              <w:right w:w="100" w:type="dxa"/>
            </w:tcMar>
          </w:tcPr>
          <w:p w14:paraId="2487E0A5">
            <w:pPr>
              <w:spacing w:after="0" w:line="240" w:lineRule="auto"/>
            </w:pPr>
            <w:r>
              <w:rPr>
                <w:rFonts w:ascii="Aptos" w:hAnsi="Aptos" w:eastAsia="Aptos" w:cs="Aptos"/>
                <w:b w:val="0"/>
                <w:bCs w:val="0"/>
                <w:color w:val="243B53"/>
                <w:sz w:val="19"/>
                <w:szCs w:val="19"/>
              </w:rPr>
              <w:t>Run smoke, security, backup/recovery, and workflow checks; record defects and results; obtain authorized acceptance before opening the system to intended users.</w:t>
            </w:r>
          </w:p>
        </w:tc>
      </w:tr>
    </w:tbl>
    <w:p w14:paraId="146EB19D">
      <w:pPr>
        <w:pBdr>
          <w:top w:val="single" w:color="167D83" w:sz="8" w:space="0"/>
        </w:pBdr>
        <w:spacing w:before="350"/>
      </w:pPr>
      <w:bookmarkStart w:id="0" w:name="_GoBack"/>
      <w:bookmarkEnd w:id="0"/>
    </w:p>
    <w:sectPr>
      <w:pgSz w:w="15840" w:h="12240"/>
      <w:pgMar w:top="650" w:right="650" w:bottom="650" w:left="6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AA0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ptos" w:hAnsi="Aptos" w:eastAsia="Aptos" w:cs="Aptos"/>
      <w:color w:val="243B53"/>
      <w:sz w:val="19"/>
      <w:szCs w:val="19"/>
    </w:rPr>
  </w:style>
  <w:style w:type="paragraph" w:styleId="2">
    <w:name w:val="heading 1"/>
    <w:next w:val="1"/>
    <w:qFormat/>
    <w:uiPriority w:val="0"/>
    <w:pPr>
      <w:spacing w:line="260" w:lineRule="auto"/>
    </w:pPr>
    <w:rPr>
      <w:rFonts w:ascii="Aptos" w:hAnsi="Aptos" w:eastAsia="Aptos" w:cs="Aptos"/>
      <w:color w:val="2E74B5"/>
      <w:sz w:val="32"/>
      <w:szCs w:val="32"/>
    </w:rPr>
  </w:style>
  <w:style w:type="paragraph" w:styleId="3">
    <w:name w:val="heading 2"/>
    <w:next w:val="1"/>
    <w:qFormat/>
    <w:uiPriority w:val="0"/>
    <w:pPr>
      <w:spacing w:line="260" w:lineRule="auto"/>
    </w:pPr>
    <w:rPr>
      <w:rFonts w:ascii="Aptos" w:hAnsi="Aptos" w:eastAsia="Aptos" w:cs="Aptos"/>
      <w:color w:val="2E74B5"/>
      <w:sz w:val="26"/>
      <w:szCs w:val="26"/>
    </w:rPr>
  </w:style>
  <w:style w:type="paragraph" w:styleId="4">
    <w:name w:val="heading 3"/>
    <w:next w:val="1"/>
    <w:qFormat/>
    <w:uiPriority w:val="0"/>
    <w:pPr>
      <w:spacing w:line="260" w:lineRule="auto"/>
    </w:pPr>
    <w:rPr>
      <w:rFonts w:ascii="Aptos" w:hAnsi="Aptos" w:eastAsia="Aptos" w:cs="Aptos"/>
      <w:color w:val="1F4D78"/>
      <w:sz w:val="24"/>
      <w:szCs w:val="24"/>
    </w:rPr>
  </w:style>
  <w:style w:type="paragraph" w:styleId="5">
    <w:name w:val="heading 4"/>
    <w:next w:val="1"/>
    <w:qFormat/>
    <w:uiPriority w:val="0"/>
    <w:pPr>
      <w:spacing w:line="260" w:lineRule="auto"/>
    </w:pPr>
    <w:rPr>
      <w:rFonts w:ascii="Aptos" w:hAnsi="Aptos" w:eastAsia="Aptos" w:cs="Aptos"/>
      <w:i/>
      <w:iCs/>
      <w:color w:val="2E74B5"/>
      <w:sz w:val="19"/>
      <w:szCs w:val="19"/>
    </w:rPr>
  </w:style>
  <w:style w:type="paragraph" w:styleId="6">
    <w:name w:val="heading 5"/>
    <w:next w:val="1"/>
    <w:qFormat/>
    <w:uiPriority w:val="0"/>
    <w:pPr>
      <w:spacing w:line="260" w:lineRule="auto"/>
    </w:pPr>
    <w:rPr>
      <w:rFonts w:ascii="Aptos" w:hAnsi="Aptos" w:eastAsia="Aptos" w:cs="Aptos"/>
      <w:color w:val="2E74B5"/>
      <w:sz w:val="19"/>
      <w:szCs w:val="19"/>
    </w:rPr>
  </w:style>
  <w:style w:type="paragraph" w:styleId="7">
    <w:name w:val="heading 6"/>
    <w:next w:val="1"/>
    <w:qFormat/>
    <w:uiPriority w:val="0"/>
    <w:pPr>
      <w:spacing w:line="260" w:lineRule="auto"/>
    </w:pPr>
    <w:rPr>
      <w:rFonts w:ascii="Aptos" w:hAnsi="Aptos" w:eastAsia="Aptos" w:cs="Aptos"/>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ptos" w:hAnsi="Aptos" w:eastAsia="Aptos" w:cs="Aptos"/>
      <w:color w:val="243B53"/>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ptos" w:hAnsi="Aptos" w:eastAsia="Aptos" w:cs="Aptos"/>
      <w:color w:val="243B53"/>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pPr>
      <w:spacing w:line="260" w:lineRule="auto"/>
    </w:pPr>
    <w:rPr>
      <w:rFonts w:ascii="Aptos" w:hAnsi="Aptos" w:eastAsia="Aptos" w:cs="Aptos"/>
      <w:color w:val="243B53"/>
      <w:sz w:val="56"/>
      <w:szCs w:val="56"/>
    </w:rPr>
  </w:style>
  <w:style w:type="paragraph" w:styleId="17">
    <w:name w:val="List Paragraph"/>
    <w:qFormat/>
    <w:uiPriority w:val="0"/>
    <w:pPr>
      <w:spacing w:line="260" w:lineRule="auto"/>
    </w:pPr>
    <w:rPr>
      <w:rFonts w:ascii="Aptos" w:hAnsi="Aptos" w:eastAsia="Aptos" w:cs="Aptos"/>
      <w:color w:val="243B53"/>
      <w:sz w:val="19"/>
      <w:szCs w:val="19"/>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2323</Words>
  <Characters>16789</Characters>
  <TotalTime>87</TotalTime>
  <ScaleCrop>false</ScaleCrop>
  <LinksUpToDate>false</LinksUpToDate>
  <CharactersWithSpaces>18719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2026-09-23T06:30:00Z</dcterms:created>
  <dc:creator>AidLink proponents</dc:creator>
  <cp:lastModifiedBy>JUSTINE PLE�OS</cp:lastModifiedBy>
  <dcterms:modified xsi:type="dcterms:W3CDTF">2026-09-23T07:59:11Z</dcterms:modified>
  <dc:subject>Table-based requirements and system analysis workshop output</dc:subject>
  <dc:title>AidLink Week 3 Day 2 Workshop Output - Table Format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eyJoZGlkIjoiODJkMWI3MGI5OWY4M2M0M2RmNGRmZWFhMDlkNDdiYTYiLCJ1c2VySWQiOiI3MDQ4MTE0NjMwNDcifQ==</vt:lpwstr>
  </property>
  <property fmtid="{D5CDD505-2E9C-101B-9397-08002B2CF9AE}" pid="3" name="KSOProductBuildVer">
    <vt:lpwstr>1033-12.1.0.28485</vt:lpwstr>
  </property>
  <property fmtid="{D5CDD505-2E9C-101B-9397-08002B2CF9AE}" pid="4" name="ICV">
    <vt:lpwstr>371357719ABE43B6A600C62489B3BCBA_12</vt:lpwstr>
  </property>
</Properties>
</file>