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9972"/>
      </w:tblGrid>
      <w:tr>
        <w:trPr>
          <w:trHeight w:val="1814" w:hRule="atLeast"/>
        </w:trPr>
        <w:tc>
          <w:tcPr>
            <w:tcW w:type="dxa" w:w="9972"/>
            <w:shd w:val="clear" w:color="auto" w:fill="0D0D1A"/>
          </w:tcPr>
          <w:p>
            <w:pPr>
              <w:spacing w:before="320"/>
              <w:jc w:val="center"/>
            </w:pPr>
            <w:r>
              <w:rPr>
                <w:b/>
                <w:color w:val="D4AF37"/>
                <w:sz w:val="56"/>
              </w:rPr>
              <w:t>PHARMATRACK</w:t>
            </w:r>
          </w:p>
          <w:p>
            <w:pPr>
              <w:jc w:val="center"/>
            </w:pPr>
            <w:r>
              <w:rPr>
                <w:color w:val="FFFFFF"/>
                <w:sz w:val="26"/>
              </w:rPr>
              <w:t>Amended Partnership Proposal &amp; Service Agreement</w:t>
            </w:r>
          </w:p>
          <w:p>
            <w:pPr>
              <w:spacing w:after="240"/>
              <w:jc w:val="center"/>
            </w:pPr>
            <w:r>
              <w:rPr>
                <w:color w:val="A0A0C0"/>
                <w:sz w:val="22"/>
              </w:rPr>
              <w:t>University of San Agustín — College of Pharmacy</w:t>
            </w:r>
          </w:p>
        </w:tc>
      </w:tr>
      <w:tr>
        <w:trPr>
          <w:trHeight w:val="283" w:hRule="atLeast"/>
        </w:trPr>
        <w:tc>
          <w:tcPr>
            <w:tcW w:type="dxa" w:w="9972"/>
            <w:shd w:val="clear" w:color="auto" w:fill="D4AF37"/>
          </w:tcPr>
          <w:p>
            <w:pPr>
              <w:spacing w:before="0" w:after="0"/>
              <w:jc w:val="left"/>
            </w:pPr>
            <w:r>
              <w:rPr>
                <w:b w:val="0"/>
                <w:i w:val="0"/>
                <w:sz w:val="8"/>
              </w:rPr>
            </w:r>
          </w:p>
        </w:tc>
      </w:tr>
      <w:tr>
        <w:trPr>
          <w:trHeight w:val="1984" w:hRule="atLeast"/>
        </w:trPr>
        <w:tc>
          <w:tcPr>
            <w:tcW w:type="dxa" w:w="9972"/>
            <w:shd w:val="clear" w:color="auto" w:fill="F9F9FC"/>
          </w:tcPr>
          <w:p/>
          <w:tbl>
            <w:tblPr>
              <w:tblStyle w:val="TableGrid"/>
              <w:tblW w:type="auto" w:w="0"/>
              <w:tblLook w:firstColumn="1" w:firstRow="1" w:lastColumn="0" w:lastRow="0" w:noHBand="0" w:noVBand="1" w:val="04A0"/>
            </w:tblPr>
            <w:tblGrid>
              <w:gridCol w:w="4986"/>
              <w:gridCol w:w="4986"/>
            </w:tblGrid>
            <w:tr>
              <w:tc>
                <w:tcPr>
                  <w:tcW w:type="dxa" w:w="2835"/>
                  <w:shd w:val="clear" w:color="auto" w:fill="EEEEF6"/>
                </w:tcPr>
                <w:p>
                  <w:pPr>
                    <w:spacing w:before="80" w:after="80"/>
                    <w:jc w:val="left"/>
                  </w:pPr>
                  <w:r>
                    <w:rPr>
                      <w:b/>
                      <w:i w:val="0"/>
                      <w:color w:val="333344"/>
                      <w:sz w:val="18"/>
                    </w:rPr>
                    <w:t>Prepared by</w:t>
                  </w:r>
                </w:p>
              </w:tc>
              <w:tc>
                <w:tcPr>
                  <w:tcW w:type="dxa" w:w="5669"/>
                </w:tcPr>
                <w:p>
                  <w:pPr>
                    <w:spacing w:before="80" w:after="80"/>
                    <w:jc w:val="left"/>
                  </w:pPr>
                  <w:r>
                    <w:rPr>
                      <w:b w:val="0"/>
                      <w:i w:val="0"/>
                      <w:sz w:val="18"/>
                    </w:rPr>
                    <w:t>Cascade Development Group</w:t>
                  </w:r>
                </w:p>
              </w:tc>
            </w:tr>
            <w:tr>
              <w:tc>
                <w:tcPr>
                  <w:tcW w:type="dxa" w:w="2835"/>
                  <w:shd w:val="clear" w:color="auto" w:fill="EEEEF6"/>
                </w:tcPr>
                <w:p>
                  <w:pPr>
                    <w:spacing w:before="80" w:after="80"/>
                    <w:jc w:val="left"/>
                  </w:pPr>
                  <w:r>
                    <w:rPr>
                      <w:b/>
                      <w:i w:val="0"/>
                      <w:color w:val="333344"/>
                      <w:sz w:val="18"/>
                    </w:rPr>
                    <w:t>Prepared for</w:t>
                  </w:r>
                </w:p>
              </w:tc>
              <w:tc>
                <w:tcPr>
                  <w:tcW w:type="dxa" w:w="5669"/>
                </w:tcPr>
                <w:p>
                  <w:pPr>
                    <w:spacing w:before="80" w:after="80"/>
                    <w:jc w:val="left"/>
                  </w:pPr>
                  <w:r>
                    <w:rPr>
                      <w:b w:val="0"/>
                      <w:i w:val="0"/>
                      <w:sz w:val="18"/>
                    </w:rPr>
                    <w:t>University of San Agustín — College of Pharmacy</w:t>
                  </w:r>
                </w:p>
              </w:tc>
            </w:tr>
            <w:tr>
              <w:tc>
                <w:tcPr>
                  <w:tcW w:type="dxa" w:w="2835"/>
                  <w:shd w:val="clear" w:color="auto" w:fill="EEEEF6"/>
                </w:tcPr>
                <w:p>
                  <w:pPr>
                    <w:spacing w:before="80" w:after="80"/>
                    <w:jc w:val="left"/>
                  </w:pPr>
                  <w:r>
                    <w:rPr>
                      <w:b/>
                      <w:i w:val="0"/>
                      <w:color w:val="333344"/>
                      <w:sz w:val="18"/>
                    </w:rPr>
                    <w:t>Date</w:t>
                  </w:r>
                </w:p>
              </w:tc>
              <w:tc>
                <w:tcPr>
                  <w:tcW w:type="dxa" w:w="5669"/>
                </w:tcPr>
                <w:p>
                  <w:pPr>
                    <w:spacing w:before="80" w:after="80"/>
                    <w:jc w:val="left"/>
                  </w:pPr>
                  <w:r>
                    <w:rPr>
                      <w:b w:val="0"/>
                      <w:i w:val="0"/>
                      <w:sz w:val="18"/>
                    </w:rPr>
                    <w:t>June 2026</w:t>
                  </w:r>
                </w:p>
              </w:tc>
            </w:tr>
            <w:tr>
              <w:tc>
                <w:tcPr>
                  <w:tcW w:type="dxa" w:w="2835"/>
                  <w:shd w:val="clear" w:color="auto" w:fill="EEEEF6"/>
                </w:tcPr>
                <w:p>
                  <w:pPr>
                    <w:spacing w:before="80" w:after="80"/>
                    <w:jc w:val="left"/>
                  </w:pPr>
                  <w:r>
                    <w:rPr>
                      <w:b/>
                      <w:i w:val="0"/>
                      <w:color w:val="333344"/>
                      <w:sz w:val="18"/>
                    </w:rPr>
                    <w:t>Document Type</w:t>
                  </w:r>
                </w:p>
              </w:tc>
              <w:tc>
                <w:tcPr>
                  <w:tcW w:type="dxa" w:w="5669"/>
                </w:tcPr>
                <w:p>
                  <w:pPr>
                    <w:spacing w:before="80" w:after="80"/>
                    <w:jc w:val="left"/>
                  </w:pPr>
                  <w:r>
                    <w:rPr>
                      <w:b w:val="0"/>
                      <w:i w:val="0"/>
                      <w:sz w:val="18"/>
                    </w:rPr>
                    <w:t>Confidential — Amended Partnership Agreement</w:t>
                  </w:r>
                </w:p>
              </w:tc>
            </w:tr>
            <w:tr>
              <w:tc>
                <w:tcPr>
                  <w:tcW w:type="dxa" w:w="2835"/>
                  <w:shd w:val="clear" w:color="auto" w:fill="EEEEF6"/>
                </w:tcPr>
                <w:p>
                  <w:pPr>
                    <w:spacing w:before="80" w:after="80"/>
                    <w:jc w:val="left"/>
                  </w:pPr>
                  <w:r>
                    <w:rPr>
                      <w:b/>
                      <w:i w:val="0"/>
                      <w:color w:val="333344"/>
                      <w:sz w:val="18"/>
                    </w:rPr>
                    <w:t>Contract No.</w:t>
                  </w:r>
                </w:p>
              </w:tc>
              <w:tc>
                <w:tcPr>
                  <w:tcW w:type="dxa" w:w="5669"/>
                </w:tcPr>
                <w:p>
                  <w:pPr>
                    <w:spacing w:before="80" w:after="80"/>
                    <w:jc w:val="left"/>
                  </w:pPr>
                  <w:r>
                    <w:rPr>
                      <w:b w:val="0"/>
                      <w:i w:val="0"/>
                      <w:sz w:val="18"/>
                    </w:rPr>
                    <w:t>CDG-2026-002  (supersedes CDG-2025-001)</w:t>
                  </w:r>
                </w:p>
              </w:tc>
            </w:tr>
            <w:tr>
              <w:tc>
                <w:tcPr>
                  <w:tcW w:type="dxa" w:w="2835"/>
                  <w:shd w:val="clear" w:color="auto" w:fill="EEEEF6"/>
                </w:tcPr>
                <w:p>
                  <w:pPr>
                    <w:spacing w:before="80" w:after="80"/>
                    <w:jc w:val="left"/>
                  </w:pPr>
                  <w:r>
                    <w:rPr>
                      <w:b/>
                      <w:i w:val="0"/>
                      <w:color w:val="333344"/>
                      <w:sz w:val="18"/>
                    </w:rPr>
                    <w:t>System URL</w:t>
                  </w:r>
                </w:p>
              </w:tc>
              <w:tc>
                <w:tcPr>
                  <w:tcW w:type="dxa" w:w="5669"/>
                </w:tcPr>
                <w:p>
                  <w:pPr>
                    <w:spacing w:before="80" w:after="80"/>
                    <w:jc w:val="left"/>
                  </w:pPr>
                  <w:r>
                    <w:rPr>
                      <w:b w:val="0"/>
                      <w:i w:val="0"/>
                      <w:sz w:val="18"/>
                    </w:rPr>
                    <w:t>https://v0-attendance-monitoring-web-app.vercel.app/</w:t>
                  </w:r>
                </w:p>
              </w:tc>
            </w:tr>
            <w:tr>
              <w:tc>
                <w:tcPr>
                  <w:tcW w:type="dxa" w:w="2835"/>
                  <w:shd w:val="clear" w:color="auto" w:fill="EEEEF6"/>
                </w:tcPr>
                <w:p>
                  <w:pPr>
                    <w:spacing w:before="80" w:after="80"/>
                    <w:jc w:val="left"/>
                  </w:pPr>
                  <w:r>
                    <w:rPr>
                      <w:b/>
                      <w:i w:val="0"/>
                      <w:color w:val="333344"/>
                      <w:sz w:val="18"/>
                    </w:rPr>
                    <w:t>Domain</w:t>
                  </w:r>
                </w:p>
              </w:tc>
              <w:tc>
                <w:tcPr>
                  <w:tcW w:type="dxa" w:w="5669"/>
                </w:tcPr>
                <w:p>
                  <w:pPr>
                    <w:spacing w:before="80" w:after="80"/>
                    <w:jc w:val="left"/>
                  </w:pPr>
                  <w:r>
                    <w:rPr>
                      <w:b w:val="0"/>
                      <w:i w:val="0"/>
                      <w:sz w:val="18"/>
                    </w:rPr>
                    <w:t>lsgph-apothecarian-council-pharmatrack.com</w:t>
                  </w:r>
                </w:p>
              </w:tc>
            </w:tr>
          </w:tbl>
          <w:p/>
        </w:tc>
      </w:tr>
    </w:tbl>
    <w:p/>
    <w:tbl>
      <w:tblPr>
        <w:tblStyle w:val="TableGrid"/>
        <w:tblW w:type="auto" w:w="0"/>
        <w:jc w:val="center"/>
        <w:tblLook w:firstColumn="1" w:firstRow="1" w:lastColumn="0" w:lastRow="0" w:noHBand="0" w:noVBand="1" w:val="04A0"/>
      </w:tblPr>
      <w:tblGrid>
        <w:gridCol w:w="9972"/>
      </w:tblGrid>
      <w:tr>
        <w:trPr>
          <w:trHeight w:val="425" w:hRule="atLeast"/>
        </w:trPr>
        <w:tc>
          <w:tcPr>
            <w:tcW w:type="dxa" w:w="9972"/>
            <w:shd w:val="clear" w:color="auto" w:fill="0D0D1A"/>
          </w:tcPr>
          <w:p>
            <w:pPr>
              <w:spacing w:before="80" w:after="80"/>
              <w:jc w:val="left"/>
            </w:pPr>
            <w:r>
              <w:rPr>
                <w:b/>
                <w:color w:val="D4AF37"/>
                <w:sz w:val="22"/>
              </w:rPr>
              <w:t xml:space="preserve">01   </w:t>
            </w:r>
            <w:r>
              <w:rPr>
                <w:b/>
                <w:color w:val="FFFFFF"/>
                <w:sz w:val="22"/>
              </w:rPr>
              <w:t>ABOUT THIS AMENDMENT</w:t>
            </w:r>
          </w:p>
        </w:tc>
      </w:tr>
    </w:tbl>
    <w:p/>
    <w:p>
      <w:pPr>
        <w:spacing w:after="120"/>
      </w:pPr>
      <w:r>
        <w:rPr>
          <w:b w:val="0"/>
          <w:i w:val="0"/>
          <w:sz w:val="20"/>
        </w:rPr>
        <w:t>This document is the Second Contract between Cascade Development Group and the University of San Agustín College of Pharmacy. The original agreement (CDG-2025-001, dated June 2025) covered the initial PharmaTrack system build. Since then, the client has requested four additional features that meaningfully expand the platform's scope.</w:t>
      </w:r>
    </w:p>
    <w:p>
      <w:pPr>
        <w:spacing w:after="120"/>
      </w:pPr>
      <w:r>
        <w:rPr>
          <w:b w:val="0"/>
          <w:i w:val="0"/>
          <w:sz w:val="20"/>
        </w:rPr>
        <w:t>This amended proposal supersedes the original investment summary and presents two updated pricing options for the client's selection. All other partnership commitments and retainer terms remain unchanged.</w:t>
      </w:r>
    </w:p>
    <w:tbl>
      <w:tblPr>
        <w:tblStyle w:val="TableGrid"/>
        <w:tblW w:type="auto" w:w="0"/>
        <w:tblLook w:firstColumn="1" w:firstRow="1" w:lastColumn="0" w:lastRow="0" w:noHBand="0" w:noVBand="1" w:val="04A0"/>
      </w:tblPr>
      <w:tblGrid>
        <w:gridCol w:w="9972"/>
      </w:tblGrid>
      <w:tr>
        <w:tc>
          <w:tcPr>
            <w:tcW w:type="dxa" w:w="9972"/>
            <w:shd w:val="clear" w:color="auto" w:fill="FDF0C8"/>
          </w:tcPr>
          <w:p>
            <w:pPr>
              <w:spacing w:before="120" w:after="120"/>
            </w:pPr>
            <w:r>
              <w:rPr>
                <w:b/>
                <w:color w:val="924000"/>
                <w:sz w:val="20"/>
              </w:rPr>
              <w:t xml:space="preserve">Amendment Summary:  </w:t>
            </w:r>
            <w:r>
              <w:rPr>
                <w:color w:val="783500"/>
                <w:sz w:val="20"/>
              </w:rPr>
              <w:t>4 new features added — Email Notification, Profile Picture Upload, Minor UI Redesign, Merch Catalogue. Two pricing options presented below. Retainer remains ₱5,000/month.</w:t>
            </w:r>
          </w:p>
        </w:tc>
      </w:tr>
    </w:tbl>
    <w:p/>
    <w:tbl>
      <w:tblPr>
        <w:tblStyle w:val="TableGrid"/>
        <w:tblW w:type="auto" w:w="0"/>
        <w:jc w:val="center"/>
        <w:tblLook w:firstColumn="1" w:firstRow="1" w:lastColumn="0" w:lastRow="0" w:noHBand="0" w:noVBand="1" w:val="04A0"/>
      </w:tblPr>
      <w:tblGrid>
        <w:gridCol w:w="9972"/>
      </w:tblGrid>
      <w:tr>
        <w:trPr>
          <w:trHeight w:val="425" w:hRule="atLeast"/>
        </w:trPr>
        <w:tc>
          <w:tcPr>
            <w:tcW w:type="dxa" w:w="9972"/>
            <w:shd w:val="clear" w:color="auto" w:fill="0D0D1A"/>
          </w:tcPr>
          <w:p>
            <w:pPr>
              <w:spacing w:before="80" w:after="80"/>
              <w:jc w:val="left"/>
            </w:pPr>
            <w:r>
              <w:rPr>
                <w:b/>
                <w:color w:val="D4AF37"/>
                <w:sz w:val="22"/>
              </w:rPr>
              <w:t xml:space="preserve">02   </w:t>
            </w:r>
            <w:r>
              <w:rPr>
                <w:b/>
                <w:color w:val="FFFFFF"/>
                <w:sz w:val="22"/>
              </w:rPr>
              <w:t>COMPLETE FEATURE SET</w:t>
            </w:r>
          </w:p>
        </w:tc>
      </w:tr>
    </w:tbl>
    <w:p/>
    <w:p>
      <w:pPr>
        <w:spacing w:after="120"/>
      </w:pPr>
      <w:r>
        <w:rPr>
          <w:b w:val="0"/>
          <w:i w:val="0"/>
          <w:sz w:val="20"/>
        </w:rPr>
        <w:t>The following covers all features included in PharmaTrack — both original and newly added in this amendment.</w:t>
      </w:r>
    </w:p>
    <w:tbl>
      <w:tblPr>
        <w:tblStyle w:val="TableGrid"/>
        <w:tblW w:type="auto" w:w="0"/>
        <w:tblLook w:firstColumn="1" w:firstRow="1" w:lastColumn="0" w:lastRow="0" w:noHBand="0" w:noVBand="1" w:val="04A0"/>
      </w:tblPr>
      <w:tblGrid>
        <w:gridCol w:w="3324"/>
        <w:gridCol w:w="3324"/>
        <w:gridCol w:w="3324"/>
      </w:tblGrid>
      <w:tr>
        <w:tc>
          <w:tcPr>
            <w:tcW w:type="dxa" w:w="2551"/>
            <w:shd w:val="clear" w:color="auto" w:fill="0D0D1A"/>
          </w:tcPr>
          <w:p>
            <w:pPr>
              <w:spacing w:before="80" w:after="80"/>
              <w:jc w:val="left"/>
            </w:pPr>
            <w:r>
              <w:rPr>
                <w:b/>
                <w:i w:val="0"/>
                <w:color w:val="FFFFFF"/>
                <w:sz w:val="18"/>
              </w:rPr>
              <w:t>Feature</w:t>
            </w:r>
          </w:p>
        </w:tc>
        <w:tc>
          <w:tcPr>
            <w:tcW w:type="dxa" w:w="5386"/>
            <w:shd w:val="clear" w:color="auto" w:fill="0D0D1A"/>
          </w:tcPr>
          <w:p>
            <w:pPr>
              <w:spacing w:before="80" w:after="80"/>
              <w:jc w:val="left"/>
            </w:pPr>
            <w:r>
              <w:rPr>
                <w:b/>
                <w:i w:val="0"/>
                <w:color w:val="FFFFFF"/>
                <w:sz w:val="18"/>
              </w:rPr>
              <w:t>Description</w:t>
            </w:r>
          </w:p>
        </w:tc>
        <w:tc>
          <w:tcPr>
            <w:tcW w:type="dxa" w:w="1134"/>
            <w:shd w:val="clear" w:color="auto" w:fill="0D0D1A"/>
          </w:tcPr>
          <w:p>
            <w:pPr>
              <w:spacing w:before="80" w:after="80"/>
              <w:jc w:val="left"/>
            </w:pPr>
            <w:r>
              <w:rPr>
                <w:b/>
                <w:i w:val="0"/>
                <w:color w:val="FFFFFF"/>
                <w:sz w:val="18"/>
              </w:rPr>
              <w:t>Status</w:t>
            </w:r>
          </w:p>
        </w:tc>
      </w:tr>
      <w:tr>
        <w:tc>
          <w:tcPr>
            <w:tcW w:type="dxa" w:w="2551"/>
            <w:shd w:val="clear" w:color="auto" w:fill="FFFFFF"/>
          </w:tcPr>
          <w:p>
            <w:pPr>
              <w:spacing w:before="60" w:after="60"/>
              <w:jc w:val="left"/>
            </w:pPr>
            <w:r>
              <w:rPr>
                <w:b w:val="0"/>
                <w:i w:val="0"/>
                <w:sz w:val="18"/>
              </w:rPr>
              <w:t>Secure QR Access Pass</w:t>
            </w:r>
          </w:p>
        </w:tc>
        <w:tc>
          <w:tcPr>
            <w:tcW w:type="dxa" w:w="5386"/>
            <w:shd w:val="clear" w:color="auto" w:fill="FFFFFF"/>
          </w:tcPr>
          <w:p>
            <w:pPr>
              <w:spacing w:before="60" w:after="60"/>
              <w:jc w:val="left"/>
            </w:pPr>
            <w:r>
              <w:rPr>
                <w:b w:val="0"/>
                <w:i w:val="0"/>
                <w:sz w:val="18"/>
              </w:rPr>
              <w:t>Each student receives a permanent unique QR code tied to their student number, acting as a digital ID badge.</w:t>
            </w:r>
          </w:p>
        </w:tc>
        <w:tc>
          <w:tcPr>
            <w:tcW w:type="dxa" w:w="1134"/>
            <w:shd w:val="clear" w:color="auto" w:fill="FFFFFF"/>
          </w:tcPr>
          <w:p>
            <w:pPr>
              <w:spacing w:before="60" w:after="60"/>
              <w:jc w:val="left"/>
            </w:pPr>
            <w:r>
              <w:rPr>
                <w:b w:val="0"/>
                <w:i w:val="0"/>
                <w:color w:val="333344"/>
                <w:sz w:val="18"/>
              </w:rPr>
              <w:t>Original</w:t>
            </w:r>
          </w:p>
        </w:tc>
      </w:tr>
      <w:tr>
        <w:tc>
          <w:tcPr>
            <w:tcW w:type="dxa" w:w="2551"/>
            <w:shd w:val="clear" w:color="auto" w:fill="F5F5FB"/>
          </w:tcPr>
          <w:p>
            <w:pPr>
              <w:spacing w:before="60" w:after="60"/>
              <w:jc w:val="left"/>
            </w:pPr>
            <w:r>
              <w:rPr>
                <w:b w:val="0"/>
                <w:i w:val="0"/>
                <w:sz w:val="18"/>
              </w:rPr>
              <w:t>Self Check-In Scan</w:t>
            </w:r>
          </w:p>
        </w:tc>
        <w:tc>
          <w:tcPr>
            <w:tcW w:type="dxa" w:w="5386"/>
            <w:shd w:val="clear" w:color="auto" w:fill="F5F5FB"/>
          </w:tcPr>
          <w:p>
            <w:pPr>
              <w:spacing w:before="60" w:after="60"/>
              <w:jc w:val="left"/>
            </w:pPr>
            <w:r>
              <w:rPr>
                <w:b w:val="0"/>
                <w:i w:val="0"/>
                <w:sz w:val="18"/>
              </w:rPr>
              <w:t>Students scan dynamic session QR codes generated by facilitators to mark themselves present instantly.</w:t>
            </w:r>
          </w:p>
        </w:tc>
        <w:tc>
          <w:tcPr>
            <w:tcW w:type="dxa" w:w="1134"/>
            <w:shd w:val="clear" w:color="auto" w:fill="F5F5FB"/>
          </w:tcPr>
          <w:p>
            <w:pPr>
              <w:spacing w:before="60" w:after="60"/>
              <w:jc w:val="left"/>
            </w:pPr>
            <w:r>
              <w:rPr>
                <w:b w:val="0"/>
                <w:i w:val="0"/>
                <w:color w:val="333344"/>
                <w:sz w:val="18"/>
              </w:rPr>
              <w:t>Original</w:t>
            </w:r>
          </w:p>
        </w:tc>
      </w:tr>
      <w:tr>
        <w:tc>
          <w:tcPr>
            <w:tcW w:type="dxa" w:w="2551"/>
            <w:shd w:val="clear" w:color="auto" w:fill="FFFFFF"/>
          </w:tcPr>
          <w:p>
            <w:pPr>
              <w:spacing w:before="60" w:after="60"/>
              <w:jc w:val="left"/>
            </w:pPr>
            <w:r>
              <w:rPr>
                <w:b w:val="0"/>
                <w:i w:val="0"/>
                <w:sz w:val="18"/>
              </w:rPr>
              <w:t>Facilitator Scanner Panel</w:t>
            </w:r>
          </w:p>
        </w:tc>
        <w:tc>
          <w:tcPr>
            <w:tcW w:type="dxa" w:w="5386"/>
            <w:shd w:val="clear" w:color="auto" w:fill="FFFFFF"/>
          </w:tcPr>
          <w:p>
            <w:pPr>
              <w:spacing w:before="60" w:after="60"/>
              <w:jc w:val="left"/>
            </w:pPr>
            <w:r>
              <w:rPr>
                <w:b w:val="0"/>
                <w:i w:val="0"/>
                <w:sz w:val="18"/>
              </w:rPr>
              <w:t>Council members and instructors scan student QR passes via live webcam and export attendance records.</w:t>
            </w:r>
          </w:p>
        </w:tc>
        <w:tc>
          <w:tcPr>
            <w:tcW w:type="dxa" w:w="1134"/>
            <w:shd w:val="clear" w:color="auto" w:fill="FFFFFF"/>
          </w:tcPr>
          <w:p>
            <w:pPr>
              <w:spacing w:before="60" w:after="60"/>
              <w:jc w:val="left"/>
            </w:pPr>
            <w:r>
              <w:rPr>
                <w:b w:val="0"/>
                <w:i w:val="0"/>
                <w:color w:val="333344"/>
                <w:sz w:val="18"/>
              </w:rPr>
              <w:t>Original</w:t>
            </w:r>
          </w:p>
        </w:tc>
      </w:tr>
      <w:tr>
        <w:tc>
          <w:tcPr>
            <w:tcW w:type="dxa" w:w="2551"/>
            <w:shd w:val="clear" w:color="auto" w:fill="F5F5FB"/>
          </w:tcPr>
          <w:p>
            <w:pPr>
              <w:spacing w:before="60" w:after="60"/>
              <w:jc w:val="left"/>
            </w:pPr>
            <w:r>
              <w:rPr>
                <w:b w:val="0"/>
                <w:i w:val="0"/>
                <w:sz w:val="18"/>
              </w:rPr>
              <w:t>Automated Attendance Status</w:t>
            </w:r>
          </w:p>
        </w:tc>
        <w:tc>
          <w:tcPr>
            <w:tcW w:type="dxa" w:w="5386"/>
            <w:shd w:val="clear" w:color="auto" w:fill="F5F5FB"/>
          </w:tcPr>
          <w:p>
            <w:pPr>
              <w:spacing w:before="60" w:after="60"/>
              <w:jc w:val="left"/>
            </w:pPr>
            <w:r>
              <w:rPr>
                <w:b w:val="0"/>
                <w:i w:val="0"/>
                <w:sz w:val="18"/>
              </w:rPr>
              <w:t>The system categorizes arrivals as Present, Late, or Absent automatically per event-configured rules.</w:t>
            </w:r>
          </w:p>
        </w:tc>
        <w:tc>
          <w:tcPr>
            <w:tcW w:type="dxa" w:w="1134"/>
            <w:shd w:val="clear" w:color="auto" w:fill="F5F5FB"/>
          </w:tcPr>
          <w:p>
            <w:pPr>
              <w:spacing w:before="60" w:after="60"/>
              <w:jc w:val="left"/>
            </w:pPr>
            <w:r>
              <w:rPr>
                <w:b w:val="0"/>
                <w:i w:val="0"/>
                <w:color w:val="333344"/>
                <w:sz w:val="18"/>
              </w:rPr>
              <w:t>Original</w:t>
            </w:r>
          </w:p>
        </w:tc>
      </w:tr>
      <w:tr>
        <w:tc>
          <w:tcPr>
            <w:tcW w:type="dxa" w:w="2551"/>
            <w:shd w:val="clear" w:color="auto" w:fill="FFFFFF"/>
          </w:tcPr>
          <w:p>
            <w:pPr>
              <w:spacing w:before="60" w:after="60"/>
              <w:jc w:val="left"/>
            </w:pPr>
            <w:r>
              <w:rPr>
                <w:b w:val="0"/>
                <w:i w:val="0"/>
                <w:sz w:val="18"/>
              </w:rPr>
              <w:t>Admin Control Panel</w:t>
            </w:r>
          </w:p>
        </w:tc>
        <w:tc>
          <w:tcPr>
            <w:tcW w:type="dxa" w:w="5386"/>
            <w:shd w:val="clear" w:color="auto" w:fill="FFFFFF"/>
          </w:tcPr>
          <w:p>
            <w:pPr>
              <w:spacing w:before="60" w:after="60"/>
              <w:jc w:val="left"/>
            </w:pPr>
            <w:r>
              <w:rPr>
                <w:b w:val="0"/>
                <w:i w:val="0"/>
                <w:sz w:val="18"/>
              </w:rPr>
              <w:t>Superusers manage user approvals, configure global thresholds, and audit all system activity.</w:t>
            </w:r>
          </w:p>
        </w:tc>
        <w:tc>
          <w:tcPr>
            <w:tcW w:type="dxa" w:w="1134"/>
            <w:shd w:val="clear" w:color="auto" w:fill="FFFFFF"/>
          </w:tcPr>
          <w:p>
            <w:pPr>
              <w:spacing w:before="60" w:after="60"/>
              <w:jc w:val="left"/>
            </w:pPr>
            <w:r>
              <w:rPr>
                <w:b w:val="0"/>
                <w:i w:val="0"/>
                <w:color w:val="333344"/>
                <w:sz w:val="18"/>
              </w:rPr>
              <w:t>Original</w:t>
            </w:r>
          </w:p>
        </w:tc>
      </w:tr>
      <w:tr>
        <w:tc>
          <w:tcPr>
            <w:tcW w:type="dxa" w:w="2551"/>
            <w:shd w:val="clear" w:color="auto" w:fill="F5F5FB"/>
          </w:tcPr>
          <w:p>
            <w:pPr>
              <w:spacing w:before="60" w:after="60"/>
              <w:jc w:val="left"/>
            </w:pPr>
            <w:r>
              <w:rPr>
                <w:b w:val="0"/>
                <w:i w:val="0"/>
                <w:sz w:val="18"/>
              </w:rPr>
              <w:t>Real-Time Analytics</w:t>
            </w:r>
          </w:p>
        </w:tc>
        <w:tc>
          <w:tcPr>
            <w:tcW w:type="dxa" w:w="5386"/>
            <w:shd w:val="clear" w:color="auto" w:fill="F5F5FB"/>
          </w:tcPr>
          <w:p>
            <w:pPr>
              <w:spacing w:before="60" w:after="60"/>
              <w:jc w:val="left"/>
            </w:pPr>
            <w:r>
              <w:rPr>
                <w:b w:val="0"/>
                <w:i w:val="0"/>
                <w:sz w:val="18"/>
              </w:rPr>
              <w:t>Attendance ring charts, status counters, and upcoming event highlights on every dashboard.</w:t>
            </w:r>
          </w:p>
        </w:tc>
        <w:tc>
          <w:tcPr>
            <w:tcW w:type="dxa" w:w="1134"/>
            <w:shd w:val="clear" w:color="auto" w:fill="F5F5FB"/>
          </w:tcPr>
          <w:p>
            <w:pPr>
              <w:spacing w:before="60" w:after="60"/>
              <w:jc w:val="left"/>
            </w:pPr>
            <w:r>
              <w:rPr>
                <w:b w:val="0"/>
                <w:i w:val="0"/>
                <w:color w:val="333344"/>
                <w:sz w:val="18"/>
              </w:rPr>
              <w:t>Original</w:t>
            </w:r>
          </w:p>
        </w:tc>
      </w:tr>
      <w:tr>
        <w:tc>
          <w:tcPr>
            <w:tcW w:type="dxa" w:w="2551"/>
            <w:shd w:val="clear" w:color="auto" w:fill="FFFFFF"/>
          </w:tcPr>
          <w:p>
            <w:pPr>
              <w:spacing w:before="60" w:after="60"/>
              <w:jc w:val="left"/>
            </w:pPr>
            <w:r>
              <w:rPr>
                <w:b w:val="0"/>
                <w:i w:val="0"/>
                <w:sz w:val="18"/>
              </w:rPr>
              <w:t>PDF / Excel Exports</w:t>
            </w:r>
          </w:p>
        </w:tc>
        <w:tc>
          <w:tcPr>
            <w:tcW w:type="dxa" w:w="5386"/>
            <w:shd w:val="clear" w:color="auto" w:fill="FFFFFF"/>
          </w:tcPr>
          <w:p>
            <w:pPr>
              <w:spacing w:before="60" w:after="60"/>
              <w:jc w:val="left"/>
            </w:pPr>
            <w:r>
              <w:rPr>
                <w:b w:val="0"/>
                <w:i w:val="0"/>
                <w:sz w:val="18"/>
              </w:rPr>
              <w:t>Facilitators export filtered attendance records by event, student, or status at any time.</w:t>
            </w:r>
          </w:p>
        </w:tc>
        <w:tc>
          <w:tcPr>
            <w:tcW w:type="dxa" w:w="1134"/>
            <w:shd w:val="clear" w:color="auto" w:fill="FFFFFF"/>
          </w:tcPr>
          <w:p>
            <w:pPr>
              <w:spacing w:before="60" w:after="60"/>
              <w:jc w:val="left"/>
            </w:pPr>
            <w:r>
              <w:rPr>
                <w:b w:val="0"/>
                <w:i w:val="0"/>
                <w:color w:val="333344"/>
                <w:sz w:val="18"/>
              </w:rPr>
              <w:t>Original</w:t>
            </w:r>
          </w:p>
        </w:tc>
      </w:tr>
      <w:tr>
        <w:tc>
          <w:tcPr>
            <w:tcW w:type="dxa" w:w="2551"/>
            <w:shd w:val="clear" w:color="auto" w:fill="F5F5FB"/>
          </w:tcPr>
          <w:p>
            <w:pPr>
              <w:spacing w:before="60" w:after="60"/>
              <w:jc w:val="left"/>
            </w:pPr>
            <w:r>
              <w:rPr>
                <w:b w:val="0"/>
                <w:i w:val="0"/>
                <w:sz w:val="18"/>
              </w:rPr>
              <w:t>Self-Profile Repair</w:t>
            </w:r>
          </w:p>
        </w:tc>
        <w:tc>
          <w:tcPr>
            <w:tcW w:type="dxa" w:w="5386"/>
            <w:shd w:val="clear" w:color="auto" w:fill="F5F5FB"/>
          </w:tcPr>
          <w:p>
            <w:pPr>
              <w:spacing w:before="60" w:after="60"/>
              <w:jc w:val="left"/>
            </w:pPr>
            <w:r>
              <w:rPr>
                <w:b w:val="0"/>
                <w:i w:val="0"/>
                <w:sz w:val="18"/>
              </w:rPr>
              <w:t>Students with incomplete profiles can re-verify and regenerate their QR credentials inline.</w:t>
            </w:r>
          </w:p>
        </w:tc>
        <w:tc>
          <w:tcPr>
            <w:tcW w:type="dxa" w:w="1134"/>
            <w:shd w:val="clear" w:color="auto" w:fill="F5F5FB"/>
          </w:tcPr>
          <w:p>
            <w:pPr>
              <w:spacing w:before="60" w:after="60"/>
              <w:jc w:val="left"/>
            </w:pPr>
            <w:r>
              <w:rPr>
                <w:b w:val="0"/>
                <w:i w:val="0"/>
                <w:color w:val="333344"/>
                <w:sz w:val="18"/>
              </w:rPr>
              <w:t>Original</w:t>
            </w:r>
          </w:p>
        </w:tc>
      </w:tr>
      <w:tr>
        <w:tc>
          <w:tcPr>
            <w:tcW w:type="dxa" w:w="2551"/>
            <w:shd w:val="clear" w:color="auto" w:fill="FFFFFF"/>
          </w:tcPr>
          <w:p>
            <w:pPr>
              <w:spacing w:before="60" w:after="60"/>
              <w:jc w:val="left"/>
            </w:pPr>
            <w:r>
              <w:rPr>
                <w:b/>
                <w:i w:val="0"/>
                <w:color w:val="10B981"/>
                <w:sz w:val="18"/>
              </w:rPr>
              <w:t>Email Notification</w:t>
            </w:r>
          </w:p>
        </w:tc>
        <w:tc>
          <w:tcPr>
            <w:tcW w:type="dxa" w:w="5386"/>
            <w:shd w:val="clear" w:color="auto" w:fill="FFFFFF"/>
          </w:tcPr>
          <w:p>
            <w:pPr>
              <w:spacing w:before="60" w:after="60"/>
              <w:jc w:val="left"/>
            </w:pPr>
            <w:r>
              <w:rPr>
                <w:b w:val="0"/>
                <w:i w:val="0"/>
                <w:sz w:val="18"/>
              </w:rPr>
              <w:t>Automated email alerts sent to students for event announcements, attendance status, and reminders. Delivery capacity depends on chosen plan (see Section 04).</w:t>
            </w:r>
          </w:p>
          <w:p>
            <w:pPr>
              <w:spacing w:before="20" w:after="40"/>
              <w:jc w:val="left"/>
            </w:pPr>
            <w:r>
              <w:rPr>
                <w:b w:val="0"/>
                <w:i/>
                <w:color w:val="10B981"/>
                <w:sz w:val="16"/>
              </w:rPr>
              <w:t>★ New feature added in this amendment</w:t>
            </w:r>
          </w:p>
        </w:tc>
        <w:tc>
          <w:tcPr>
            <w:tcW w:type="dxa" w:w="1134"/>
            <w:shd w:val="clear" w:color="auto" w:fill="FFFFFF"/>
          </w:tcPr>
          <w:p>
            <w:pPr>
              <w:spacing w:before="60" w:after="60"/>
              <w:jc w:val="left"/>
            </w:pPr>
            <w:r>
              <w:rPr>
                <w:b/>
                <w:i w:val="0"/>
                <w:color w:val="10B981"/>
                <w:sz w:val="18"/>
              </w:rPr>
              <w:t>NEW</w:t>
            </w:r>
          </w:p>
        </w:tc>
      </w:tr>
      <w:tr>
        <w:tc>
          <w:tcPr>
            <w:tcW w:type="dxa" w:w="2551"/>
            <w:shd w:val="clear" w:color="auto" w:fill="F5F5FB"/>
          </w:tcPr>
          <w:p>
            <w:pPr>
              <w:spacing w:before="60" w:after="60"/>
              <w:jc w:val="left"/>
            </w:pPr>
            <w:r>
              <w:rPr>
                <w:b/>
                <w:i w:val="0"/>
                <w:color w:val="10B981"/>
                <w:sz w:val="18"/>
              </w:rPr>
              <w:t>Profile Picture Upload</w:t>
            </w:r>
          </w:p>
        </w:tc>
        <w:tc>
          <w:tcPr>
            <w:tcW w:type="dxa" w:w="5386"/>
            <w:shd w:val="clear" w:color="auto" w:fill="F5F5FB"/>
          </w:tcPr>
          <w:p>
            <w:pPr>
              <w:spacing w:before="60" w:after="60"/>
              <w:jc w:val="left"/>
            </w:pPr>
            <w:r>
              <w:rPr>
                <w:b w:val="0"/>
                <w:i w:val="0"/>
                <w:sz w:val="18"/>
              </w:rPr>
              <w:t>Students and facilitators can upload a profile photo, stored securely and displayed across dashboards to improve identity verification during events.</w:t>
            </w:r>
          </w:p>
          <w:p>
            <w:pPr>
              <w:spacing w:before="20" w:after="40"/>
              <w:jc w:val="left"/>
            </w:pPr>
            <w:r>
              <w:rPr>
                <w:b w:val="0"/>
                <w:i/>
                <w:color w:val="10B981"/>
                <w:sz w:val="16"/>
              </w:rPr>
              <w:t>★ New feature added in this amendment</w:t>
            </w:r>
          </w:p>
        </w:tc>
        <w:tc>
          <w:tcPr>
            <w:tcW w:type="dxa" w:w="1134"/>
            <w:shd w:val="clear" w:color="auto" w:fill="F5F5FB"/>
          </w:tcPr>
          <w:p>
            <w:pPr>
              <w:spacing w:before="60" w:after="60"/>
              <w:jc w:val="left"/>
            </w:pPr>
            <w:r>
              <w:rPr>
                <w:b/>
                <w:i w:val="0"/>
                <w:color w:val="10B981"/>
                <w:sz w:val="18"/>
              </w:rPr>
              <w:t>NEW</w:t>
            </w:r>
          </w:p>
        </w:tc>
      </w:tr>
      <w:tr>
        <w:tc>
          <w:tcPr>
            <w:tcW w:type="dxa" w:w="2551"/>
            <w:shd w:val="clear" w:color="auto" w:fill="FFFFFF"/>
          </w:tcPr>
          <w:p>
            <w:pPr>
              <w:spacing w:before="60" w:after="60"/>
              <w:jc w:val="left"/>
            </w:pPr>
            <w:r>
              <w:rPr>
                <w:b/>
                <w:i w:val="0"/>
                <w:color w:val="10B981"/>
                <w:sz w:val="18"/>
              </w:rPr>
              <w:t>Minor UI Redesign</w:t>
            </w:r>
          </w:p>
        </w:tc>
        <w:tc>
          <w:tcPr>
            <w:tcW w:type="dxa" w:w="5386"/>
            <w:shd w:val="clear" w:color="auto" w:fill="FFFFFF"/>
          </w:tcPr>
          <w:p>
            <w:pPr>
              <w:spacing w:before="60" w:after="60"/>
              <w:jc w:val="left"/>
            </w:pPr>
            <w:r>
              <w:rPr>
                <w:b w:val="0"/>
                <w:i w:val="0"/>
                <w:sz w:val="18"/>
              </w:rPr>
              <w:t>Refreshed typography, improved visual hierarchy, polished landing page, and consistent component styling across all role dashboards for a more professional appearance.</w:t>
            </w:r>
          </w:p>
          <w:p>
            <w:pPr>
              <w:spacing w:before="20" w:after="40"/>
              <w:jc w:val="left"/>
            </w:pPr>
            <w:r>
              <w:rPr>
                <w:b w:val="0"/>
                <w:i/>
                <w:color w:val="10B981"/>
                <w:sz w:val="16"/>
              </w:rPr>
              <w:t>★ New feature added in this amendment</w:t>
            </w:r>
          </w:p>
        </w:tc>
        <w:tc>
          <w:tcPr>
            <w:tcW w:type="dxa" w:w="1134"/>
            <w:shd w:val="clear" w:color="auto" w:fill="FFFFFF"/>
          </w:tcPr>
          <w:p>
            <w:pPr>
              <w:spacing w:before="60" w:after="60"/>
              <w:jc w:val="left"/>
            </w:pPr>
            <w:r>
              <w:rPr>
                <w:b/>
                <w:i w:val="0"/>
                <w:color w:val="10B981"/>
                <w:sz w:val="18"/>
              </w:rPr>
              <w:t>NEW</w:t>
            </w:r>
          </w:p>
        </w:tc>
      </w:tr>
      <w:tr>
        <w:tc>
          <w:tcPr>
            <w:tcW w:type="dxa" w:w="2551"/>
            <w:shd w:val="clear" w:color="auto" w:fill="F5F5FB"/>
          </w:tcPr>
          <w:p>
            <w:pPr>
              <w:spacing w:before="60" w:after="60"/>
              <w:jc w:val="left"/>
            </w:pPr>
            <w:r>
              <w:rPr>
                <w:b/>
                <w:i w:val="0"/>
                <w:color w:val="10B981"/>
                <w:sz w:val="18"/>
              </w:rPr>
              <w:t>Merch Catalogue</w:t>
            </w:r>
          </w:p>
        </w:tc>
        <w:tc>
          <w:tcPr>
            <w:tcW w:type="dxa" w:w="5386"/>
            <w:shd w:val="clear" w:color="auto" w:fill="F5F5FB"/>
          </w:tcPr>
          <w:p>
            <w:pPr>
              <w:spacing w:before="60" w:after="60"/>
              <w:jc w:val="left"/>
            </w:pPr>
            <w:r>
              <w:rPr>
                <w:b w:val="0"/>
                <w:i w:val="0"/>
                <w:sz w:val="18"/>
              </w:rPr>
              <w:t>A curated in-app merchandise catalogue allowing the Apothecarian Council to showcase and manage pharmacy department merchandise listings.</w:t>
            </w:r>
          </w:p>
          <w:p>
            <w:pPr>
              <w:spacing w:before="20" w:after="40"/>
              <w:jc w:val="left"/>
            </w:pPr>
            <w:r>
              <w:rPr>
                <w:b w:val="0"/>
                <w:i/>
                <w:color w:val="10B981"/>
                <w:sz w:val="16"/>
              </w:rPr>
              <w:t>★ New feature added in this amendment</w:t>
            </w:r>
          </w:p>
        </w:tc>
        <w:tc>
          <w:tcPr>
            <w:tcW w:type="dxa" w:w="1134"/>
            <w:shd w:val="clear" w:color="auto" w:fill="F5F5FB"/>
          </w:tcPr>
          <w:p>
            <w:pPr>
              <w:spacing w:before="60" w:after="60"/>
              <w:jc w:val="left"/>
            </w:pPr>
            <w:r>
              <w:rPr>
                <w:b/>
                <w:i w:val="0"/>
                <w:color w:val="10B981"/>
                <w:sz w:val="18"/>
              </w:rPr>
              <w:t>NEW</w:t>
            </w:r>
          </w:p>
        </w:tc>
      </w:tr>
    </w:tbl>
    <w:p/>
    <w:tbl>
      <w:tblPr>
        <w:tblStyle w:val="TableGrid"/>
        <w:tblW w:type="auto" w:w="0"/>
        <w:jc w:val="center"/>
        <w:tblLook w:firstColumn="1" w:firstRow="1" w:lastColumn="0" w:lastRow="0" w:noHBand="0" w:noVBand="1" w:val="04A0"/>
      </w:tblPr>
      <w:tblGrid>
        <w:gridCol w:w="9972"/>
      </w:tblGrid>
      <w:tr>
        <w:trPr>
          <w:trHeight w:val="425" w:hRule="atLeast"/>
        </w:trPr>
        <w:tc>
          <w:tcPr>
            <w:tcW w:type="dxa" w:w="9972"/>
            <w:shd w:val="clear" w:color="auto" w:fill="0D0D1A"/>
          </w:tcPr>
          <w:p>
            <w:pPr>
              <w:spacing w:before="80" w:after="80"/>
              <w:jc w:val="left"/>
            </w:pPr>
            <w:r>
              <w:rPr>
                <w:b/>
                <w:color w:val="D4AF37"/>
                <w:sz w:val="22"/>
              </w:rPr>
              <w:t xml:space="preserve">03   </w:t>
            </w:r>
            <w:r>
              <w:rPr>
                <w:b/>
                <w:color w:val="FFFFFF"/>
                <w:sz w:val="22"/>
              </w:rPr>
              <w:t>TECHNOLOGY &amp; INFRASTRUCTURE</w:t>
            </w:r>
          </w:p>
        </w:tc>
      </w:tr>
    </w:tbl>
    <w:p/>
    <w:tbl>
      <w:tblPr>
        <w:tblStyle w:val="TableGrid"/>
        <w:tblW w:type="auto" w:w="0"/>
        <w:tblLook w:firstColumn="1" w:firstRow="1" w:lastColumn="0" w:lastRow="0" w:noHBand="0" w:noVBand="1" w:val="04A0"/>
      </w:tblPr>
      <w:tblGrid>
        <w:gridCol w:w="4986"/>
        <w:gridCol w:w="4986"/>
      </w:tblGrid>
      <w:tr>
        <w:tc>
          <w:tcPr>
            <w:tcW w:type="dxa" w:w="2551"/>
            <w:shd w:val="clear" w:color="auto" w:fill="0D0D1A"/>
          </w:tcPr>
          <w:p>
            <w:pPr>
              <w:spacing w:before="80" w:after="80"/>
              <w:jc w:val="left"/>
            </w:pPr>
            <w:r>
              <w:rPr>
                <w:b/>
                <w:i w:val="0"/>
                <w:color w:val="FFFFFF"/>
                <w:sz w:val="18"/>
              </w:rPr>
              <w:t>Component</w:t>
            </w:r>
          </w:p>
        </w:tc>
        <w:tc>
          <w:tcPr>
            <w:tcW w:type="dxa" w:w="6520"/>
            <w:shd w:val="clear" w:color="auto" w:fill="0D0D1A"/>
          </w:tcPr>
          <w:p>
            <w:pPr>
              <w:spacing w:before="80" w:after="80"/>
              <w:jc w:val="left"/>
            </w:pPr>
            <w:r>
              <w:rPr>
                <w:b/>
                <w:i w:val="0"/>
                <w:color w:val="FFFFFF"/>
                <w:sz w:val="18"/>
              </w:rPr>
              <w:t>Details</w:t>
            </w:r>
          </w:p>
        </w:tc>
      </w:tr>
      <w:tr>
        <w:tc>
          <w:tcPr>
            <w:tcW w:type="dxa" w:w="2551"/>
            <w:shd w:val="clear" w:color="auto" w:fill="FFFFFF"/>
          </w:tcPr>
          <w:p>
            <w:pPr>
              <w:spacing w:before="60" w:after="60"/>
              <w:jc w:val="left"/>
            </w:pPr>
            <w:r>
              <w:rPr>
                <w:b w:val="0"/>
                <w:i w:val="0"/>
                <w:sz w:val="18"/>
              </w:rPr>
              <w:t>Frontend</w:t>
            </w:r>
          </w:p>
        </w:tc>
        <w:tc>
          <w:tcPr>
            <w:tcW w:type="dxa" w:w="6520"/>
            <w:shd w:val="clear" w:color="auto" w:fill="FFFFFF"/>
          </w:tcPr>
          <w:p>
            <w:pPr>
              <w:spacing w:before="60" w:after="60"/>
              <w:jc w:val="left"/>
            </w:pPr>
            <w:r>
              <w:rPr>
                <w:b w:val="0"/>
                <w:i w:val="0"/>
                <w:sz w:val="18"/>
              </w:rPr>
              <w:t>Next.js 14 (React 18) — deployed and hosted on Vercel. App Router, TypeScript, server-side rendering.</w:t>
            </w:r>
          </w:p>
        </w:tc>
      </w:tr>
      <w:tr>
        <w:tc>
          <w:tcPr>
            <w:tcW w:type="dxa" w:w="2551"/>
            <w:shd w:val="clear" w:color="auto" w:fill="F5F5FB"/>
          </w:tcPr>
          <w:p>
            <w:pPr>
              <w:spacing w:before="60" w:after="60"/>
              <w:jc w:val="left"/>
            </w:pPr>
            <w:r>
              <w:rPr>
                <w:b w:val="0"/>
                <w:i w:val="0"/>
                <w:sz w:val="18"/>
              </w:rPr>
              <w:t>Database &amp; Auth</w:t>
            </w:r>
          </w:p>
        </w:tc>
        <w:tc>
          <w:tcPr>
            <w:tcW w:type="dxa" w:w="6520"/>
            <w:shd w:val="clear" w:color="auto" w:fill="F5F5FB"/>
          </w:tcPr>
          <w:p>
            <w:pPr>
              <w:spacing w:before="60" w:after="60"/>
              <w:jc w:val="left"/>
            </w:pPr>
            <w:r>
              <w:rPr>
                <w:b w:val="0"/>
                <w:i w:val="0"/>
                <w:sz w:val="18"/>
              </w:rPr>
              <w:t>Supabase (PostgreSQL) with Row-Level Security on all tables. JWT sessions via httpOnly cookie.</w:t>
            </w:r>
          </w:p>
        </w:tc>
      </w:tr>
      <w:tr>
        <w:tc>
          <w:tcPr>
            <w:tcW w:type="dxa" w:w="2551"/>
            <w:shd w:val="clear" w:color="auto" w:fill="FFFFFF"/>
          </w:tcPr>
          <w:p>
            <w:pPr>
              <w:spacing w:before="60" w:after="60"/>
              <w:jc w:val="left"/>
            </w:pPr>
            <w:r>
              <w:rPr>
                <w:b w:val="0"/>
                <w:i w:val="0"/>
                <w:sz w:val="18"/>
              </w:rPr>
              <w:t>QR Engine</w:t>
            </w:r>
          </w:p>
        </w:tc>
        <w:tc>
          <w:tcPr>
            <w:tcW w:type="dxa" w:w="6520"/>
            <w:shd w:val="clear" w:color="auto" w:fill="FFFFFF"/>
          </w:tcPr>
          <w:p>
            <w:pPr>
              <w:spacing w:before="60" w:after="60"/>
              <w:jc w:val="left"/>
            </w:pPr>
            <w:r>
              <w:rPr>
                <w:b w:val="0"/>
                <w:i w:val="0"/>
                <w:sz w:val="18"/>
              </w:rPr>
              <w:t>Static &amp; dynamic QR code generation with configurable expiry windows.</w:t>
            </w:r>
          </w:p>
        </w:tc>
      </w:tr>
      <w:tr>
        <w:tc>
          <w:tcPr>
            <w:tcW w:type="dxa" w:w="2551"/>
            <w:shd w:val="clear" w:color="auto" w:fill="F5F5FB"/>
          </w:tcPr>
          <w:p>
            <w:pPr>
              <w:spacing w:before="60" w:after="60"/>
              <w:jc w:val="left"/>
            </w:pPr>
            <w:r>
              <w:rPr>
                <w:b w:val="0"/>
                <w:i w:val="0"/>
                <w:sz w:val="18"/>
              </w:rPr>
              <w:t>File Storage</w:t>
            </w:r>
          </w:p>
        </w:tc>
        <w:tc>
          <w:tcPr>
            <w:tcW w:type="dxa" w:w="6520"/>
            <w:shd w:val="clear" w:color="auto" w:fill="F5F5FB"/>
          </w:tcPr>
          <w:p>
            <w:pPr>
              <w:spacing w:before="60" w:after="60"/>
              <w:jc w:val="left"/>
            </w:pPr>
            <w:r>
              <w:rPr>
                <w:b w:val="0"/>
                <w:i w:val="0"/>
                <w:sz w:val="18"/>
              </w:rPr>
              <w:t>Supabase Storage for profile picture uploads. Secure, CDN-backed delivery.</w:t>
            </w:r>
          </w:p>
        </w:tc>
      </w:tr>
      <w:tr>
        <w:tc>
          <w:tcPr>
            <w:tcW w:type="dxa" w:w="2551"/>
            <w:shd w:val="clear" w:color="auto" w:fill="FFFFFF"/>
          </w:tcPr>
          <w:p>
            <w:pPr>
              <w:spacing w:before="60" w:after="60"/>
              <w:jc w:val="left"/>
            </w:pPr>
            <w:r>
              <w:rPr>
                <w:b w:val="0"/>
                <w:i w:val="0"/>
                <w:sz w:val="18"/>
              </w:rPr>
              <w:t>Rate Limiting</w:t>
            </w:r>
          </w:p>
        </w:tc>
        <w:tc>
          <w:tcPr>
            <w:tcW w:type="dxa" w:w="6520"/>
            <w:shd w:val="clear" w:color="auto" w:fill="FFFFFF"/>
          </w:tcPr>
          <w:p>
            <w:pPr>
              <w:spacing w:before="60" w:after="60"/>
              <w:jc w:val="left"/>
            </w:pPr>
            <w:r>
              <w:rPr>
                <w:b w:val="0"/>
                <w:i w:val="0"/>
                <w:sz w:val="18"/>
              </w:rPr>
              <w:t>Upstash Redis sliding-window rate limiting on all API endpoints. Protects against abuse.</w:t>
            </w:r>
          </w:p>
        </w:tc>
      </w:tr>
      <w:tr>
        <w:tc>
          <w:tcPr>
            <w:tcW w:type="dxa" w:w="2551"/>
            <w:shd w:val="clear" w:color="auto" w:fill="F5F5FB"/>
          </w:tcPr>
          <w:p>
            <w:pPr>
              <w:spacing w:before="60" w:after="60"/>
              <w:jc w:val="left"/>
            </w:pPr>
            <w:r>
              <w:rPr>
                <w:b w:val="0"/>
                <w:i w:val="0"/>
                <w:sz w:val="18"/>
              </w:rPr>
              <w:t>Error Monitoring</w:t>
            </w:r>
          </w:p>
        </w:tc>
        <w:tc>
          <w:tcPr>
            <w:tcW w:type="dxa" w:w="6520"/>
            <w:shd w:val="clear" w:color="auto" w:fill="F5F5FB"/>
          </w:tcPr>
          <w:p>
            <w:pPr>
              <w:spacing w:before="60" w:after="60"/>
              <w:jc w:val="left"/>
            </w:pPr>
            <w:r>
              <w:rPr>
                <w:b w:val="0"/>
                <w:i w:val="0"/>
                <w:sz w:val="18"/>
              </w:rPr>
              <w:t>Sentry integration for real-time error tracking and performance monitoring.</w:t>
            </w:r>
          </w:p>
        </w:tc>
      </w:tr>
      <w:tr>
        <w:tc>
          <w:tcPr>
            <w:tcW w:type="dxa" w:w="2551"/>
            <w:shd w:val="clear" w:color="auto" w:fill="FFFFFF"/>
          </w:tcPr>
          <w:p>
            <w:pPr>
              <w:spacing w:before="60" w:after="60"/>
              <w:jc w:val="left"/>
            </w:pPr>
            <w:r>
              <w:rPr>
                <w:b w:val="0"/>
                <w:i w:val="0"/>
                <w:sz w:val="18"/>
              </w:rPr>
              <w:t>Email Service</w:t>
            </w:r>
          </w:p>
        </w:tc>
        <w:tc>
          <w:tcPr>
            <w:tcW w:type="dxa" w:w="6520"/>
            <w:shd w:val="clear" w:color="auto" w:fill="FFFFFF"/>
          </w:tcPr>
          <w:p>
            <w:pPr>
              <w:spacing w:before="60" w:after="60"/>
              <w:jc w:val="left"/>
            </w:pPr>
            <w:r>
              <w:rPr>
                <w:b w:val="0"/>
                <w:i w:val="0"/>
                <w:sz w:val="18"/>
              </w:rPr>
              <w:t>See Section 04 — two options depending on chosen plan.</w:t>
            </w:r>
          </w:p>
        </w:tc>
      </w:tr>
      <w:tr>
        <w:tc>
          <w:tcPr>
            <w:tcW w:type="dxa" w:w="2551"/>
            <w:shd w:val="clear" w:color="auto" w:fill="F5F5FB"/>
          </w:tcPr>
          <w:p>
            <w:pPr>
              <w:spacing w:before="60" w:after="60"/>
              <w:jc w:val="left"/>
            </w:pPr>
            <w:r>
              <w:rPr>
                <w:b w:val="0"/>
                <w:i w:val="0"/>
                <w:sz w:val="18"/>
              </w:rPr>
              <w:t>Domain</w:t>
            </w:r>
          </w:p>
        </w:tc>
        <w:tc>
          <w:tcPr>
            <w:tcW w:type="dxa" w:w="6520"/>
            <w:shd w:val="clear" w:color="auto" w:fill="F5F5FB"/>
          </w:tcPr>
          <w:p>
            <w:pPr>
              <w:spacing w:before="60" w:after="60"/>
              <w:jc w:val="left"/>
            </w:pPr>
            <w:r>
              <w:rPr>
                <w:b w:val="0"/>
                <w:i w:val="0"/>
                <w:sz w:val="18"/>
              </w:rPr>
              <w:t>lsgph-apothecarian-council-pharmatrack.com — USD 11.08 / year</w:t>
            </w:r>
          </w:p>
        </w:tc>
      </w:tr>
    </w:tbl>
    <w:p/>
    <w:tbl>
      <w:tblPr>
        <w:tblStyle w:val="TableGrid"/>
        <w:tblW w:type="auto" w:w="0"/>
        <w:jc w:val="center"/>
        <w:tblLook w:firstColumn="1" w:firstRow="1" w:lastColumn="0" w:lastRow="0" w:noHBand="0" w:noVBand="1" w:val="04A0"/>
      </w:tblPr>
      <w:tblGrid>
        <w:gridCol w:w="9972"/>
      </w:tblGrid>
      <w:tr>
        <w:trPr>
          <w:trHeight w:val="425" w:hRule="atLeast"/>
        </w:trPr>
        <w:tc>
          <w:tcPr>
            <w:tcW w:type="dxa" w:w="9972"/>
            <w:shd w:val="clear" w:color="auto" w:fill="0D0D1A"/>
          </w:tcPr>
          <w:p>
            <w:pPr>
              <w:spacing w:before="80" w:after="80"/>
              <w:jc w:val="left"/>
            </w:pPr>
            <w:r>
              <w:rPr>
                <w:b/>
                <w:color w:val="D4AF37"/>
                <w:sz w:val="22"/>
              </w:rPr>
              <w:t xml:space="preserve">04   </w:t>
            </w:r>
            <w:r>
              <w:rPr>
                <w:b/>
                <w:color w:val="FFFFFF"/>
                <w:sz w:val="22"/>
              </w:rPr>
              <w:t>EMAIL NOTIFICATION — CHOOSE YOUR PLAN</w:t>
            </w:r>
          </w:p>
        </w:tc>
      </w:tr>
    </w:tbl>
    <w:p/>
    <w:p>
      <w:pPr>
        <w:spacing w:after="120"/>
      </w:pPr>
      <w:r>
        <w:rPr>
          <w:b w:val="0"/>
          <w:i w:val="0"/>
          <w:sz w:val="20"/>
        </w:rPr>
        <w:t>PharmaTrack's email notification system broadcasts event announcements and attendance alerts to all enrolled students. The two plans below differ in email sending capacity and monthly cost. Please select one option:</w:t>
      </w:r>
    </w:p>
    <w:tbl>
      <w:tblPr>
        <w:tblStyle w:val="TableGrid"/>
        <w:tblW w:type="auto" w:w="0"/>
        <w:tblLook w:firstColumn="1" w:firstRow="1" w:lastColumn="0" w:lastRow="0" w:noHBand="0" w:noVBand="1" w:val="04A0"/>
      </w:tblPr>
      <w:tblGrid>
        <w:gridCol w:w="9972"/>
      </w:tblGrid>
      <w:tr>
        <w:tc>
          <w:tcPr>
            <w:tcW w:type="dxa" w:w="9972"/>
            <w:shd w:val="clear" w:color="auto" w:fill="DBEAFE"/>
          </w:tcPr>
          <w:p>
            <w:pPr>
              <w:spacing w:before="120" w:after="120"/>
            </w:pPr>
            <w:r>
              <w:rPr>
                <w:b/>
                <w:color w:val="1E40AF"/>
                <w:sz w:val="18"/>
              </w:rPr>
              <w:t xml:space="preserve">Why does this matter?  </w:t>
            </w:r>
            <w:r>
              <w:rPr>
                <w:color w:val="1E40AF"/>
                <w:sz w:val="18"/>
              </w:rPr>
              <w:t>PharmaTrack's broadcast email system runs on Resend — not Supabase. Supabase's built-in email only handles auth flows (signup confirmations, password resets) and is not used for event notifications. Without Resend Pro, broadcasts are capped at 100 emails per day (Resend free tier), meaning a full 800-student notification would take 8 days to complete. Resend Pro removes this cap, enabling all 800 students to be reached in a single broadcast within seconds.</w:t>
            </w:r>
          </w:p>
        </w:tc>
      </w:tr>
    </w:tbl>
    <w:p/>
    <w:tbl>
      <w:tblPr>
        <w:tblStyle w:val="TableGrid"/>
        <w:tblW w:type="auto" w:w="0"/>
        <w:tblLook w:firstColumn="1" w:firstRow="1" w:lastColumn="0" w:lastRow="0" w:noHBand="0" w:noVBand="1" w:val="04A0"/>
      </w:tblPr>
      <w:tblGrid>
        <w:gridCol w:w="4986"/>
        <w:gridCol w:w="4986"/>
      </w:tblGrid>
      <w:tr>
        <w:trPr>
          <w:trHeight w:val="453" w:hRule="atLeast"/>
        </w:trPr>
        <w:tc>
          <w:tcPr>
            <w:tcW w:type="dxa" w:w="680"/>
            <w:shd w:val="clear" w:color="auto" w:fill="F5F5FB"/>
          </w:tcPr>
          <w:p>
            <w:pPr>
              <w:spacing w:before="240"/>
              <w:jc w:val="center"/>
            </w:pPr>
            <w:r>
              <w:rPr>
                <w:color w:val="333344"/>
                <w:sz w:val="40"/>
              </w:rPr>
              <w:t>☐</w:t>
            </w:r>
          </w:p>
        </w:tc>
        <w:tc>
          <w:tcPr>
            <w:tcW w:type="dxa" w:w="4986"/>
            <w:shd w:val="clear" w:color="auto" w:fill="F9F9FC"/>
          </w:tcPr>
          <w:p>
            <w:pPr>
              <w:spacing w:before="160"/>
            </w:pPr>
            <w:r>
              <w:rPr>
                <w:b/>
                <w:color w:val="333344"/>
                <w:sz w:val="22"/>
              </w:rPr>
              <w:t xml:space="preserve">OPTION A — Standard Plan  </w:t>
            </w:r>
            <w:r>
              <w:rPr>
                <w:color w:val="666688"/>
                <w:sz w:val="18"/>
              </w:rPr>
              <w:t>All features, Resend free tier — 100 emails/day limit (full 800-student broadcast takes 8 days)</w:t>
            </w:r>
          </w:p>
          <w:p>
            <w:pPr>
              <w:spacing w:before="80" w:after="160"/>
            </w:pPr>
            <w:r>
              <w:rPr>
                <w:color w:val="333344"/>
                <w:sz w:val="20"/>
              </w:rPr>
              <w:t xml:space="preserve">One-time build investment: </w:t>
            </w:r>
            <w:r>
              <w:rPr>
                <w:b/>
                <w:color w:val="333344"/>
                <w:sz w:val="28"/>
              </w:rPr>
              <w:t>₱27,500.00</w:t>
            </w:r>
          </w:p>
        </w:tc>
      </w:tr>
    </w:tbl>
    <w:p/>
    <w:tbl>
      <w:tblPr>
        <w:tblStyle w:val="TableGrid"/>
        <w:tblW w:type="auto" w:w="0"/>
        <w:tblLook w:firstColumn="1" w:firstRow="1" w:lastColumn="0" w:lastRow="0" w:noHBand="0" w:noVBand="1" w:val="04A0"/>
      </w:tblPr>
      <w:tblGrid>
        <w:gridCol w:w="4986"/>
        <w:gridCol w:w="4986"/>
      </w:tblGrid>
      <w:tr>
        <w:trPr>
          <w:trHeight w:val="567" w:hRule="atLeast"/>
        </w:trPr>
        <w:tc>
          <w:tcPr>
            <w:tcW w:type="dxa" w:w="680"/>
            <w:shd w:val="clear" w:color="auto" w:fill="D1FAE5"/>
          </w:tcPr>
          <w:p>
            <w:pPr>
              <w:spacing w:before="320"/>
              <w:jc w:val="center"/>
            </w:pPr>
            <w:r>
              <w:rPr>
                <w:color w:val="10B981"/>
                <w:sz w:val="40"/>
              </w:rPr>
              <w:t>☐</w:t>
            </w:r>
          </w:p>
        </w:tc>
        <w:tc>
          <w:tcPr>
            <w:tcW w:type="dxa" w:w="4986"/>
            <w:shd w:val="clear" w:color="auto" w:fill="ECFDF5"/>
          </w:tcPr>
          <w:p>
            <w:pPr>
              <w:spacing w:before="160"/>
            </w:pPr>
            <w:r>
              <w:rPr>
                <w:b/>
                <w:color w:val="10B981"/>
                <w:sz w:val="22"/>
              </w:rPr>
              <w:t xml:space="preserve">OPTION B — Full Plan (Recommended)  </w:t>
            </w:r>
            <w:r>
              <w:rPr>
                <w:color w:val="057A55"/>
                <w:sz w:val="18"/>
              </w:rPr>
              <w:t>All features + Resend Pro Plan — full 800-student broadcast capacity</w:t>
            </w:r>
          </w:p>
          <w:p>
            <w:pPr>
              <w:spacing w:before="80"/>
            </w:pPr>
            <w:r>
              <w:rPr>
                <w:color w:val="10B981"/>
                <w:sz w:val="20"/>
              </w:rPr>
              <w:t xml:space="preserve">One-time build investment: </w:t>
            </w:r>
            <w:r>
              <w:rPr>
                <w:b/>
                <w:color w:val="10B981"/>
                <w:sz w:val="28"/>
              </w:rPr>
              <w:t>₱30,000.00</w:t>
            </w:r>
          </w:p>
          <w:p>
            <w:pPr>
              <w:spacing w:before="40" w:after="160"/>
            </w:pPr>
            <w:r>
              <w:rPr>
                <w:b/>
                <w:color w:val="10B981"/>
                <w:sz w:val="18"/>
              </w:rPr>
              <w:t xml:space="preserve">+ Resend Pro Plan: </w:t>
            </w:r>
            <w:r>
              <w:rPr>
                <w:color w:val="057A55"/>
                <w:sz w:val="18"/>
              </w:rPr>
              <w:t>USD $20.00 / month — billed separately, paid directly to Resend by the department</w:t>
            </w:r>
          </w:p>
        </w:tc>
      </w:tr>
    </w:tbl>
    <w:p/>
    <w:p>
      <w:pPr>
        <w:spacing w:after="120"/>
      </w:pPr>
      <w:r>
        <w:rPr>
          <w:b/>
          <w:i w:val="0"/>
          <w:sz w:val="20"/>
        </w:rPr>
        <w:t>Plan Comparison:</w:t>
      </w:r>
    </w:p>
    <w:tbl>
      <w:tblPr>
        <w:tblStyle w:val="TableGrid"/>
        <w:tblW w:type="auto" w:w="0"/>
        <w:tblLook w:firstColumn="1" w:firstRow="1" w:lastColumn="0" w:lastRow="0" w:noHBand="0" w:noVBand="1" w:val="04A0"/>
      </w:tblPr>
      <w:tblGrid>
        <w:gridCol w:w="3324"/>
        <w:gridCol w:w="3324"/>
        <w:gridCol w:w="3324"/>
      </w:tblGrid>
      <w:tr>
        <w:tc>
          <w:tcPr>
            <w:tcW w:type="dxa" w:w="2551"/>
            <w:shd w:val="clear" w:color="auto" w:fill="0D0D1A"/>
          </w:tcPr>
          <w:p>
            <w:pPr>
              <w:spacing w:before="80" w:after="80"/>
              <w:jc w:val="left"/>
            </w:pPr>
            <w:r>
              <w:rPr>
                <w:b/>
                <w:i w:val="0"/>
                <w:color w:val="FFFFFF"/>
                <w:sz w:val="18"/>
              </w:rPr>
            </w:r>
          </w:p>
        </w:tc>
        <w:tc>
          <w:tcPr>
            <w:tcW w:type="dxa" w:w="3118"/>
            <w:shd w:val="clear" w:color="auto" w:fill="0D0D1A"/>
          </w:tcPr>
          <w:p>
            <w:pPr>
              <w:spacing w:before="80" w:after="80"/>
              <w:jc w:val="left"/>
            </w:pPr>
            <w:r>
              <w:rPr>
                <w:b/>
                <w:i w:val="0"/>
                <w:color w:val="FFFFFF"/>
                <w:sz w:val="18"/>
              </w:rPr>
              <w:t>Option A — Standard</w:t>
            </w:r>
          </w:p>
        </w:tc>
        <w:tc>
          <w:tcPr>
            <w:tcW w:type="dxa" w:w="3402"/>
            <w:shd w:val="clear" w:color="auto" w:fill="0D0D1A"/>
          </w:tcPr>
          <w:p>
            <w:pPr>
              <w:spacing w:before="80" w:after="80"/>
              <w:jc w:val="left"/>
            </w:pPr>
            <w:r>
              <w:rPr>
                <w:b/>
                <w:i w:val="0"/>
                <w:color w:val="FFFFFF"/>
                <w:sz w:val="18"/>
              </w:rPr>
              <w:t>Option B — Full (Recommended)</w:t>
            </w:r>
          </w:p>
        </w:tc>
      </w:tr>
      <w:tr>
        <w:tc>
          <w:tcPr>
            <w:tcW w:type="dxa" w:w="2551"/>
            <w:shd w:val="clear" w:color="auto" w:fill="FFFFFF"/>
          </w:tcPr>
          <w:p>
            <w:pPr>
              <w:spacing w:before="60" w:after="60"/>
              <w:jc w:val="left"/>
            </w:pPr>
            <w:r>
              <w:rPr>
                <w:b w:val="0"/>
                <w:i w:val="0"/>
                <w:sz w:val="18"/>
              </w:rPr>
              <w:t>Build investment</w:t>
            </w:r>
          </w:p>
        </w:tc>
        <w:tc>
          <w:tcPr>
            <w:tcW w:type="dxa" w:w="3118"/>
            <w:shd w:val="clear" w:color="auto" w:fill="FFFFFF"/>
          </w:tcPr>
          <w:p>
            <w:pPr>
              <w:spacing w:before="60" w:after="60"/>
              <w:jc w:val="left"/>
            </w:pPr>
            <w:r>
              <w:rPr>
                <w:b w:val="0"/>
                <w:i w:val="0"/>
                <w:sz w:val="18"/>
              </w:rPr>
              <w:t>₱27,500.00</w:t>
            </w:r>
          </w:p>
        </w:tc>
        <w:tc>
          <w:tcPr>
            <w:tcW w:type="dxa" w:w="3402"/>
            <w:shd w:val="clear" w:color="auto" w:fill="FFFFFF"/>
          </w:tcPr>
          <w:p>
            <w:pPr>
              <w:spacing w:before="60" w:after="60"/>
              <w:jc w:val="left"/>
            </w:pPr>
            <w:r>
              <w:rPr>
                <w:b/>
                <w:i w:val="0"/>
                <w:color w:val="10B981"/>
                <w:sz w:val="18"/>
              </w:rPr>
              <w:t>₱30,000.00</w:t>
            </w:r>
          </w:p>
        </w:tc>
      </w:tr>
      <w:tr>
        <w:tc>
          <w:tcPr>
            <w:tcW w:type="dxa" w:w="2551"/>
            <w:shd w:val="clear" w:color="auto" w:fill="F5F5FB"/>
          </w:tcPr>
          <w:p>
            <w:pPr>
              <w:spacing w:before="60" w:after="60"/>
              <w:jc w:val="left"/>
            </w:pPr>
            <w:r>
              <w:rPr>
                <w:b w:val="0"/>
                <w:i w:val="0"/>
                <w:sz w:val="18"/>
              </w:rPr>
              <w:t>Email service</w:t>
            </w:r>
          </w:p>
        </w:tc>
        <w:tc>
          <w:tcPr>
            <w:tcW w:type="dxa" w:w="3118"/>
            <w:shd w:val="clear" w:color="auto" w:fill="F5F5FB"/>
          </w:tcPr>
          <w:p>
            <w:pPr>
              <w:spacing w:before="60" w:after="60"/>
              <w:jc w:val="left"/>
            </w:pPr>
            <w:r>
              <w:rPr>
                <w:b w:val="0"/>
                <w:i w:val="0"/>
                <w:sz w:val="18"/>
              </w:rPr>
              <w:t>Resend free tier</w:t>
            </w:r>
          </w:p>
        </w:tc>
        <w:tc>
          <w:tcPr>
            <w:tcW w:type="dxa" w:w="3402"/>
            <w:shd w:val="clear" w:color="auto" w:fill="F5F5FB"/>
          </w:tcPr>
          <w:p>
            <w:pPr>
              <w:spacing w:before="60" w:after="60"/>
              <w:jc w:val="left"/>
            </w:pPr>
            <w:r>
              <w:rPr>
                <w:b w:val="0"/>
                <w:i w:val="0"/>
                <w:sz w:val="18"/>
              </w:rPr>
              <w:t>Resend Pro Plan</w:t>
            </w:r>
          </w:p>
        </w:tc>
      </w:tr>
      <w:tr>
        <w:tc>
          <w:tcPr>
            <w:tcW w:type="dxa" w:w="2551"/>
            <w:shd w:val="clear" w:color="auto" w:fill="FFFFFF"/>
          </w:tcPr>
          <w:p>
            <w:pPr>
              <w:spacing w:before="60" w:after="60"/>
              <w:jc w:val="left"/>
            </w:pPr>
            <w:r>
              <w:rPr>
                <w:b w:val="0"/>
                <w:i w:val="0"/>
                <w:sz w:val="18"/>
              </w:rPr>
              <w:t>Students per broadcast</w:t>
            </w:r>
          </w:p>
        </w:tc>
        <w:tc>
          <w:tcPr>
            <w:tcW w:type="dxa" w:w="3118"/>
            <w:shd w:val="clear" w:color="auto" w:fill="FFFFFF"/>
          </w:tcPr>
          <w:p>
            <w:pPr>
              <w:spacing w:before="60" w:after="60"/>
              <w:jc w:val="left"/>
            </w:pPr>
            <w:r>
              <w:rPr>
                <w:b w:val="0"/>
                <w:i w:val="0"/>
                <w:color w:val="F97316"/>
                <w:sz w:val="18"/>
              </w:rPr>
              <w:t>100/day — full 800-student broadcast takes 8 days</w:t>
            </w:r>
          </w:p>
        </w:tc>
        <w:tc>
          <w:tcPr>
            <w:tcW w:type="dxa" w:w="3402"/>
            <w:shd w:val="clear" w:color="auto" w:fill="FFFFFF"/>
          </w:tcPr>
          <w:p>
            <w:pPr>
              <w:spacing w:before="60" w:after="60"/>
              <w:jc w:val="left"/>
            </w:pPr>
            <w:r>
              <w:rPr>
                <w:b/>
                <w:i w:val="0"/>
                <w:color w:val="10B981"/>
                <w:sz w:val="18"/>
              </w:rPr>
              <w:t>All 800 students in one broadcast (seconds)</w:t>
            </w:r>
          </w:p>
        </w:tc>
      </w:tr>
      <w:tr>
        <w:tc>
          <w:tcPr>
            <w:tcW w:type="dxa" w:w="2551"/>
            <w:shd w:val="clear" w:color="auto" w:fill="F5F5FB"/>
          </w:tcPr>
          <w:p>
            <w:pPr>
              <w:spacing w:before="60" w:after="60"/>
              <w:jc w:val="left"/>
            </w:pPr>
            <w:r>
              <w:rPr>
                <w:b w:val="0"/>
                <w:i w:val="0"/>
                <w:sz w:val="18"/>
              </w:rPr>
              <w:t>Resend monthly fee</w:t>
            </w:r>
          </w:p>
        </w:tc>
        <w:tc>
          <w:tcPr>
            <w:tcW w:type="dxa" w:w="3118"/>
            <w:shd w:val="clear" w:color="auto" w:fill="F5F5FB"/>
          </w:tcPr>
          <w:p>
            <w:pPr>
              <w:spacing w:before="60" w:after="60"/>
              <w:jc w:val="left"/>
            </w:pPr>
            <w:r>
              <w:rPr>
                <w:b w:val="0"/>
                <w:i w:val="0"/>
                <w:sz w:val="18"/>
              </w:rPr>
              <w:t>Free (100 emails/day cap)</w:t>
            </w:r>
          </w:p>
        </w:tc>
        <w:tc>
          <w:tcPr>
            <w:tcW w:type="dxa" w:w="3402"/>
            <w:shd w:val="clear" w:color="auto" w:fill="F5F5FB"/>
          </w:tcPr>
          <w:p>
            <w:pPr>
              <w:spacing w:before="60" w:after="60"/>
              <w:jc w:val="left"/>
            </w:pPr>
            <w:r>
              <w:rPr>
                <w:b w:val="0"/>
                <w:i w:val="0"/>
                <w:sz w:val="18"/>
              </w:rPr>
              <w:t>USD $20.00 / month</w:t>
            </w:r>
          </w:p>
        </w:tc>
      </w:tr>
      <w:tr>
        <w:tc>
          <w:tcPr>
            <w:tcW w:type="dxa" w:w="2551"/>
            <w:shd w:val="clear" w:color="auto" w:fill="FFFFFF"/>
          </w:tcPr>
          <w:p>
            <w:pPr>
              <w:spacing w:before="60" w:after="60"/>
              <w:jc w:val="left"/>
            </w:pPr>
            <w:r>
              <w:rPr>
                <w:b w:val="0"/>
                <w:i w:val="0"/>
                <w:sz w:val="18"/>
              </w:rPr>
              <w:t>Who pays Resend?</w:t>
            </w:r>
          </w:p>
        </w:tc>
        <w:tc>
          <w:tcPr>
            <w:tcW w:type="dxa" w:w="3118"/>
            <w:shd w:val="clear" w:color="auto" w:fill="FFFFFF"/>
          </w:tcPr>
          <w:p>
            <w:pPr>
              <w:spacing w:before="60" w:after="60"/>
              <w:jc w:val="left"/>
            </w:pPr>
            <w:r>
              <w:rPr>
                <w:b w:val="0"/>
                <w:i w:val="0"/>
                <w:sz w:val="18"/>
              </w:rPr>
              <w:t>Dept. (free account)</w:t>
            </w:r>
          </w:p>
        </w:tc>
        <w:tc>
          <w:tcPr>
            <w:tcW w:type="dxa" w:w="3402"/>
            <w:shd w:val="clear" w:color="auto" w:fill="FFFFFF"/>
          </w:tcPr>
          <w:p>
            <w:pPr>
              <w:spacing w:before="60" w:after="60"/>
              <w:jc w:val="left"/>
            </w:pPr>
            <w:r>
              <w:rPr>
                <w:b w:val="0"/>
                <w:i w:val="0"/>
                <w:sz w:val="18"/>
              </w:rPr>
              <w:t>Paid directly by department to Resend</w:t>
            </w:r>
          </w:p>
        </w:tc>
      </w:tr>
      <w:tr>
        <w:tc>
          <w:tcPr>
            <w:tcW w:type="dxa" w:w="2551"/>
            <w:shd w:val="clear" w:color="auto" w:fill="F5F5FB"/>
          </w:tcPr>
          <w:p>
            <w:pPr>
              <w:spacing w:before="60" w:after="60"/>
              <w:jc w:val="left"/>
            </w:pPr>
            <w:r>
              <w:rPr>
                <w:b w:val="0"/>
                <w:i w:val="0"/>
                <w:sz w:val="18"/>
              </w:rPr>
              <w:t>Emails per month</w:t>
            </w:r>
          </w:p>
        </w:tc>
        <w:tc>
          <w:tcPr>
            <w:tcW w:type="dxa" w:w="3118"/>
            <w:shd w:val="clear" w:color="auto" w:fill="F5F5FB"/>
          </w:tcPr>
          <w:p>
            <w:pPr>
              <w:spacing w:before="60" w:after="60"/>
              <w:jc w:val="left"/>
            </w:pPr>
            <w:r>
              <w:rPr>
                <w:b w:val="0"/>
                <w:i w:val="0"/>
                <w:sz w:val="18"/>
              </w:rPr>
              <w:t>~3,000 / month max</w:t>
            </w:r>
          </w:p>
        </w:tc>
        <w:tc>
          <w:tcPr>
            <w:tcW w:type="dxa" w:w="3402"/>
            <w:shd w:val="clear" w:color="auto" w:fill="F5F5FB"/>
          </w:tcPr>
          <w:p>
            <w:pPr>
              <w:spacing w:before="60" w:after="60"/>
              <w:jc w:val="left"/>
            </w:pPr>
            <w:r>
              <w:rPr>
                <w:b w:val="0"/>
                <w:i w:val="0"/>
                <w:sz w:val="18"/>
              </w:rPr>
              <w:t>50,000 / month</w:t>
            </w:r>
          </w:p>
        </w:tc>
      </w:tr>
      <w:tr>
        <w:tc>
          <w:tcPr>
            <w:tcW w:type="dxa" w:w="2551"/>
            <w:shd w:val="clear" w:color="auto" w:fill="FFFFFF"/>
          </w:tcPr>
          <w:p>
            <w:pPr>
              <w:spacing w:before="60" w:after="60"/>
              <w:jc w:val="left"/>
            </w:pPr>
            <w:r>
              <w:rPr>
                <w:b w:val="0"/>
                <w:i w:val="0"/>
                <w:sz w:val="18"/>
              </w:rPr>
              <w:t>Recommended for</w:t>
            </w:r>
          </w:p>
        </w:tc>
        <w:tc>
          <w:tcPr>
            <w:tcW w:type="dxa" w:w="3118"/>
            <w:shd w:val="clear" w:color="auto" w:fill="FFFFFF"/>
          </w:tcPr>
          <w:p>
            <w:pPr>
              <w:spacing w:before="60" w:after="60"/>
              <w:jc w:val="left"/>
            </w:pPr>
            <w:r>
              <w:rPr>
                <w:b w:val="0"/>
                <w:i w:val="0"/>
                <w:color w:val="F97316"/>
                <w:sz w:val="18"/>
              </w:rPr>
              <w:t>Not suitable for full enrollment broadcasts</w:t>
            </w:r>
          </w:p>
        </w:tc>
        <w:tc>
          <w:tcPr>
            <w:tcW w:type="dxa" w:w="3402"/>
            <w:shd w:val="clear" w:color="auto" w:fill="FFFFFF"/>
          </w:tcPr>
          <w:p>
            <w:pPr>
              <w:spacing w:before="60" w:after="60"/>
              <w:jc w:val="left"/>
            </w:pPr>
            <w:r>
              <w:rPr>
                <w:b w:val="0"/>
                <w:i w:val="0"/>
                <w:color w:val="10B981"/>
                <w:sz w:val="18"/>
              </w:rPr>
              <w:t>Full department broadcast (800 students)</w:t>
            </w:r>
          </w:p>
        </w:tc>
      </w:tr>
    </w:tbl>
    <w:p/>
    <w:tbl>
      <w:tblPr>
        <w:tblStyle w:val="TableGrid"/>
        <w:tblW w:type="auto" w:w="0"/>
        <w:jc w:val="center"/>
        <w:tblLook w:firstColumn="1" w:firstRow="1" w:lastColumn="0" w:lastRow="0" w:noHBand="0" w:noVBand="1" w:val="04A0"/>
      </w:tblPr>
      <w:tblGrid>
        <w:gridCol w:w="9972"/>
      </w:tblGrid>
      <w:tr>
        <w:trPr>
          <w:trHeight w:val="425" w:hRule="atLeast"/>
        </w:trPr>
        <w:tc>
          <w:tcPr>
            <w:tcW w:type="dxa" w:w="9972"/>
            <w:shd w:val="clear" w:color="auto" w:fill="0D0D1A"/>
          </w:tcPr>
          <w:p>
            <w:pPr>
              <w:spacing w:before="80" w:after="80"/>
              <w:jc w:val="left"/>
            </w:pPr>
            <w:r>
              <w:rPr>
                <w:b/>
                <w:color w:val="D4AF37"/>
                <w:sz w:val="22"/>
              </w:rPr>
              <w:t xml:space="preserve">05   </w:t>
            </w:r>
            <w:r>
              <w:rPr>
                <w:b/>
                <w:color w:val="FFFFFF"/>
                <w:sz w:val="22"/>
              </w:rPr>
              <w:t>INVESTMENT SUMMARY</w:t>
            </w:r>
          </w:p>
        </w:tc>
      </w:tr>
    </w:tbl>
    <w:p/>
    <w:p>
      <w:pPr>
        <w:spacing w:after="120"/>
      </w:pPr>
      <w:r>
        <w:rPr>
          <w:b w:val="0"/>
          <w:i w:val="0"/>
          <w:sz w:val="20"/>
        </w:rPr>
        <w:t>The following reflects the total investment for PharmaTrack under this amended agreement.</w:t>
      </w:r>
    </w:p>
    <w:tbl>
      <w:tblPr>
        <w:tblStyle w:val="TableGrid"/>
        <w:tblW w:type="auto" w:w="0"/>
        <w:tblLook w:firstColumn="1" w:firstRow="1" w:lastColumn="0" w:lastRow="0" w:noHBand="0" w:noVBand="1" w:val="04A0"/>
      </w:tblPr>
      <w:tblGrid>
        <w:gridCol w:w="3324"/>
        <w:gridCol w:w="3324"/>
        <w:gridCol w:w="3324"/>
      </w:tblGrid>
      <w:tr>
        <w:tc>
          <w:tcPr>
            <w:tcW w:type="dxa" w:w="4252"/>
            <w:shd w:val="clear" w:color="auto" w:fill="0D0D1A"/>
          </w:tcPr>
          <w:p>
            <w:pPr>
              <w:spacing w:before="80" w:after="80"/>
              <w:jc w:val="left"/>
            </w:pPr>
            <w:r>
              <w:rPr>
                <w:b/>
                <w:i w:val="0"/>
                <w:color w:val="FFFFFF"/>
                <w:sz w:val="18"/>
              </w:rPr>
              <w:t>Item</w:t>
            </w:r>
          </w:p>
        </w:tc>
        <w:tc>
          <w:tcPr>
            <w:tcW w:type="dxa" w:w="1984"/>
            <w:shd w:val="clear" w:color="auto" w:fill="0D0D1A"/>
          </w:tcPr>
          <w:p>
            <w:pPr>
              <w:spacing w:before="80" w:after="80"/>
              <w:jc w:val="left"/>
            </w:pPr>
            <w:r>
              <w:rPr>
                <w:b/>
                <w:i w:val="0"/>
                <w:color w:val="FFFFFF"/>
                <w:sz w:val="18"/>
              </w:rPr>
              <w:t>Type</w:t>
            </w:r>
          </w:p>
        </w:tc>
        <w:tc>
          <w:tcPr>
            <w:tcW w:type="dxa" w:w="2835"/>
            <w:shd w:val="clear" w:color="auto" w:fill="0D0D1A"/>
          </w:tcPr>
          <w:p>
            <w:pPr>
              <w:spacing w:before="80" w:after="80"/>
              <w:jc w:val="left"/>
            </w:pPr>
            <w:r>
              <w:rPr>
                <w:b/>
                <w:i w:val="0"/>
                <w:color w:val="FFFFFF"/>
                <w:sz w:val="18"/>
              </w:rPr>
              <w:t>Amount</w:t>
            </w:r>
          </w:p>
        </w:tc>
      </w:tr>
      <w:tr>
        <w:tc>
          <w:tcPr>
            <w:tcW w:type="dxa" w:w="4252"/>
            <w:shd w:val="clear" w:color="auto" w:fill="FFFFFF"/>
          </w:tcPr>
          <w:p>
            <w:pPr>
              <w:spacing w:before="60" w:after="60"/>
              <w:jc w:val="left"/>
            </w:pPr>
            <w:r>
              <w:rPr>
                <w:b w:val="0"/>
                <w:i w:val="0"/>
                <w:color w:val="333344"/>
                <w:sz w:val="18"/>
              </w:rPr>
              <w:t>PharmaTrack System Build — Option A</w:t>
            </w:r>
          </w:p>
        </w:tc>
        <w:tc>
          <w:tcPr>
            <w:tcW w:type="dxa" w:w="1984"/>
            <w:shd w:val="clear" w:color="auto" w:fill="FFFFFF"/>
          </w:tcPr>
          <w:p>
            <w:pPr>
              <w:spacing w:before="60" w:after="60"/>
              <w:jc w:val="left"/>
            </w:pPr>
            <w:r>
              <w:rPr>
                <w:b w:val="0"/>
                <w:i w:val="0"/>
                <w:sz w:val="18"/>
              </w:rPr>
              <w:t>One-time</w:t>
            </w:r>
          </w:p>
        </w:tc>
        <w:tc>
          <w:tcPr>
            <w:tcW w:type="dxa" w:w="2835"/>
            <w:shd w:val="clear" w:color="auto" w:fill="FFFFFF"/>
          </w:tcPr>
          <w:p>
            <w:pPr>
              <w:spacing w:before="60" w:after="60"/>
              <w:jc w:val="left"/>
            </w:pPr>
            <w:r>
              <w:rPr>
                <w:b w:val="0"/>
                <w:i w:val="0"/>
                <w:sz w:val="18"/>
              </w:rPr>
              <w:t>₱27,500.00</w:t>
            </w:r>
          </w:p>
        </w:tc>
      </w:tr>
      <w:tr>
        <w:tc>
          <w:tcPr>
            <w:tcW w:type="dxa" w:w="4252"/>
            <w:shd w:val="clear" w:color="auto" w:fill="F5F5FB"/>
          </w:tcPr>
          <w:p>
            <w:pPr>
              <w:spacing w:before="60" w:after="60"/>
              <w:jc w:val="left"/>
            </w:pPr>
            <w:r>
              <w:rPr>
                <w:b/>
                <w:i w:val="0"/>
                <w:color w:val="10B981"/>
                <w:sz w:val="18"/>
              </w:rPr>
              <w:t>PharmaTrack System Build — Option B</w:t>
            </w:r>
          </w:p>
        </w:tc>
        <w:tc>
          <w:tcPr>
            <w:tcW w:type="dxa" w:w="1984"/>
            <w:shd w:val="clear" w:color="auto" w:fill="F5F5FB"/>
          </w:tcPr>
          <w:p>
            <w:pPr>
              <w:spacing w:before="60" w:after="60"/>
              <w:jc w:val="left"/>
            </w:pPr>
            <w:r>
              <w:rPr>
                <w:b w:val="0"/>
                <w:i w:val="0"/>
                <w:sz w:val="18"/>
              </w:rPr>
              <w:t>One-time</w:t>
            </w:r>
          </w:p>
        </w:tc>
        <w:tc>
          <w:tcPr>
            <w:tcW w:type="dxa" w:w="2835"/>
            <w:shd w:val="clear" w:color="auto" w:fill="F5F5FB"/>
          </w:tcPr>
          <w:p>
            <w:pPr>
              <w:spacing w:before="60" w:after="60"/>
              <w:jc w:val="left"/>
            </w:pPr>
            <w:r>
              <w:rPr>
                <w:b/>
                <w:i w:val="0"/>
                <w:color w:val="10B981"/>
                <w:sz w:val="18"/>
              </w:rPr>
              <w:t>₱30,000.00</w:t>
            </w:r>
          </w:p>
        </w:tc>
      </w:tr>
      <w:tr>
        <w:tc>
          <w:tcPr>
            <w:tcW w:type="dxa" w:w="4252"/>
            <w:shd w:val="clear" w:color="auto" w:fill="FFFFFF"/>
          </w:tcPr>
          <w:p>
            <w:pPr>
              <w:spacing w:before="60" w:after="60"/>
              <w:jc w:val="left"/>
            </w:pPr>
            <w:r>
              <w:rPr>
                <w:b w:val="0"/>
                <w:i w:val="0"/>
                <w:sz w:val="18"/>
              </w:rPr>
              <w:t>Monthly Partnership Retainer</w:t>
            </w:r>
          </w:p>
        </w:tc>
        <w:tc>
          <w:tcPr>
            <w:tcW w:type="dxa" w:w="1984"/>
            <w:shd w:val="clear" w:color="auto" w:fill="FFFFFF"/>
          </w:tcPr>
          <w:p>
            <w:pPr>
              <w:spacing w:before="60" w:after="60"/>
              <w:jc w:val="left"/>
            </w:pPr>
            <w:r>
              <w:rPr>
                <w:b w:val="0"/>
                <w:i w:val="0"/>
                <w:sz w:val="18"/>
              </w:rPr>
              <w:t>Monthly (ongoing)</w:t>
            </w:r>
          </w:p>
        </w:tc>
        <w:tc>
          <w:tcPr>
            <w:tcW w:type="dxa" w:w="2835"/>
            <w:shd w:val="clear" w:color="auto" w:fill="FFFFFF"/>
          </w:tcPr>
          <w:p>
            <w:pPr>
              <w:spacing w:before="60" w:after="60"/>
              <w:jc w:val="left"/>
            </w:pPr>
            <w:r>
              <w:rPr>
                <w:b w:val="0"/>
                <w:i w:val="0"/>
                <w:sz w:val="18"/>
              </w:rPr>
              <w:t>₱5,000.00 / month</w:t>
            </w:r>
          </w:p>
        </w:tc>
      </w:tr>
      <w:tr>
        <w:tc>
          <w:tcPr>
            <w:tcW w:type="dxa" w:w="4252"/>
            <w:shd w:val="clear" w:color="auto" w:fill="F5F5FB"/>
          </w:tcPr>
          <w:p>
            <w:pPr>
              <w:spacing w:before="60" w:after="60"/>
              <w:jc w:val="left"/>
            </w:pPr>
            <w:r>
              <w:rPr>
                <w:b w:val="0"/>
                <w:i w:val="0"/>
                <w:sz w:val="18"/>
              </w:rPr>
              <w:t>Resend Pro Plan (Option B only)</w:t>
            </w:r>
          </w:p>
        </w:tc>
        <w:tc>
          <w:tcPr>
            <w:tcW w:type="dxa" w:w="1984"/>
            <w:shd w:val="clear" w:color="auto" w:fill="F5F5FB"/>
          </w:tcPr>
          <w:p>
            <w:pPr>
              <w:spacing w:before="60" w:after="60"/>
              <w:jc w:val="left"/>
            </w:pPr>
            <w:r>
              <w:rPr>
                <w:b w:val="0"/>
                <w:i w:val="0"/>
                <w:sz w:val="18"/>
              </w:rPr>
              <w:t>Monthly (ongoing)</w:t>
            </w:r>
          </w:p>
        </w:tc>
        <w:tc>
          <w:tcPr>
            <w:tcW w:type="dxa" w:w="2835"/>
            <w:shd w:val="clear" w:color="auto" w:fill="F5F5FB"/>
          </w:tcPr>
          <w:p>
            <w:pPr>
              <w:spacing w:before="60" w:after="60"/>
              <w:jc w:val="left"/>
            </w:pPr>
            <w:r>
              <w:rPr>
                <w:b w:val="0"/>
                <w:i w:val="0"/>
                <w:color w:val="10B981"/>
                <w:sz w:val="18"/>
              </w:rPr>
              <w:t>USD $20.00 / month</w:t>
            </w:r>
          </w:p>
          <w:p>
            <w:pPr>
              <w:spacing w:before="20" w:after="40"/>
              <w:jc w:val="left"/>
            </w:pPr>
            <w:r>
              <w:rPr>
                <w:b w:val="0"/>
                <w:i/>
                <w:color w:val="666688"/>
                <w:sz w:val="16"/>
              </w:rPr>
              <w:t>Billed directly by Resend to department — not included in retainer</w:t>
            </w:r>
          </w:p>
        </w:tc>
      </w:tr>
      <w:tr>
        <w:tc>
          <w:tcPr>
            <w:tcW w:type="dxa" w:w="4252"/>
            <w:shd w:val="clear" w:color="auto" w:fill="FFFFFF"/>
          </w:tcPr>
          <w:p>
            <w:pPr>
              <w:spacing w:before="60" w:after="60"/>
              <w:jc w:val="left"/>
            </w:pPr>
            <w:r>
              <w:rPr>
                <w:b w:val="0"/>
                <w:i w:val="0"/>
                <w:sz w:val="18"/>
              </w:rPr>
              <w:t>Custom Domain</w:t>
            </w:r>
          </w:p>
        </w:tc>
        <w:tc>
          <w:tcPr>
            <w:tcW w:type="dxa" w:w="1984"/>
            <w:shd w:val="clear" w:color="auto" w:fill="FFFFFF"/>
          </w:tcPr>
          <w:p>
            <w:pPr>
              <w:spacing w:before="60" w:after="60"/>
              <w:jc w:val="left"/>
            </w:pPr>
            <w:r>
              <w:rPr>
                <w:b w:val="0"/>
                <w:i w:val="0"/>
                <w:sz w:val="18"/>
              </w:rPr>
              <w:t>Annual</w:t>
            </w:r>
          </w:p>
        </w:tc>
        <w:tc>
          <w:tcPr>
            <w:tcW w:type="dxa" w:w="2835"/>
            <w:shd w:val="clear" w:color="auto" w:fill="FFFFFF"/>
          </w:tcPr>
          <w:p>
            <w:pPr>
              <w:spacing w:before="60" w:after="60"/>
              <w:jc w:val="left"/>
            </w:pPr>
            <w:r>
              <w:rPr>
                <w:b w:val="0"/>
                <w:i w:val="0"/>
                <w:sz w:val="18"/>
              </w:rPr>
              <w:t>USD 11.08 / year</w:t>
            </w:r>
          </w:p>
          <w:p>
            <w:pPr>
              <w:spacing w:before="20" w:after="40"/>
              <w:jc w:val="left"/>
            </w:pPr>
            <w:r>
              <w:rPr>
                <w:b w:val="0"/>
                <w:i/>
                <w:color w:val="666688"/>
                <w:sz w:val="16"/>
              </w:rPr>
              <w:t>lsgph-apothecarian-council-pharmatrack.com</w:t>
            </w:r>
          </w:p>
        </w:tc>
      </w:tr>
    </w:tbl>
    <w:p/>
    <w:tbl>
      <w:tblPr>
        <w:tblStyle w:val="TableGrid"/>
        <w:tblW w:type="auto" w:w="0"/>
        <w:tblLook w:firstColumn="1" w:firstRow="1" w:lastColumn="0" w:lastRow="0" w:noHBand="0" w:noVBand="1" w:val="04A0"/>
      </w:tblPr>
      <w:tblGrid>
        <w:gridCol w:w="9972"/>
      </w:tblGrid>
      <w:tr>
        <w:tc>
          <w:tcPr>
            <w:tcW w:type="dxa" w:w="9972"/>
            <w:shd w:val="clear" w:color="auto" w:fill="FDF0C8"/>
          </w:tcPr>
          <w:p>
            <w:pPr>
              <w:spacing w:before="120" w:after="120"/>
            </w:pPr>
            <w:r>
              <w:rPr>
                <w:b/>
                <w:color w:val="924000"/>
                <w:sz w:val="18"/>
              </w:rPr>
              <w:t xml:space="preserve">Note:  </w:t>
            </w:r>
            <w:r>
              <w:rPr>
                <w:color w:val="783500"/>
                <w:sz w:val="18"/>
              </w:rPr>
              <w:t>The build investment reflects the complete expanded feature set under this amendment. The difference from Option A to Option B (₱2,500) covers the integration cost for Resend Pro. The Resend monthly subscription ($20 USD/month) is a third-party cost billed separately and is not part of the Cascade Development Group retainer. Domain registration is coordinated by Cascade upon client confirmation.</w:t>
            </w:r>
          </w:p>
        </w:tc>
      </w:tr>
    </w:tbl>
    <w:p/>
    <w:tbl>
      <w:tblPr>
        <w:tblStyle w:val="TableGrid"/>
        <w:tblW w:type="auto" w:w="0"/>
        <w:jc w:val="center"/>
        <w:tblLook w:firstColumn="1" w:firstRow="1" w:lastColumn="0" w:lastRow="0" w:noHBand="0" w:noVBand="1" w:val="04A0"/>
      </w:tblPr>
      <w:tblGrid>
        <w:gridCol w:w="9972"/>
      </w:tblGrid>
      <w:tr>
        <w:trPr>
          <w:trHeight w:val="425" w:hRule="atLeast"/>
        </w:trPr>
        <w:tc>
          <w:tcPr>
            <w:tcW w:type="dxa" w:w="9972"/>
            <w:shd w:val="clear" w:color="auto" w:fill="0D0D1A"/>
          </w:tcPr>
          <w:p>
            <w:pPr>
              <w:spacing w:before="80" w:after="80"/>
              <w:jc w:val="left"/>
            </w:pPr>
            <w:r>
              <w:rPr>
                <w:b/>
                <w:color w:val="D4AF37"/>
                <w:sz w:val="22"/>
              </w:rPr>
              <w:t xml:space="preserve">06   </w:t>
            </w:r>
            <w:r>
              <w:rPr>
                <w:b/>
                <w:color w:val="FFFFFF"/>
                <w:sz w:val="22"/>
              </w:rPr>
              <w:t>RETAINER COVERAGE — YOUR ONGOING PARTNERSHIP</w:t>
            </w:r>
          </w:p>
        </w:tc>
      </w:tr>
    </w:tbl>
    <w:p/>
    <w:p>
      <w:pPr>
        <w:spacing w:after="120"/>
      </w:pPr>
      <w:r>
        <w:rPr>
          <w:b w:val="0"/>
          <w:i w:val="0"/>
          <w:sz w:val="20"/>
        </w:rPr>
        <w:t>The ₱5,000 monthly retainer is unchanged from the original agreement. It is not a maintenance fee — it is your direct line to Cascade Development Group.</w:t>
      </w:r>
    </w:p>
    <w:tbl>
      <w:tblPr>
        <w:tblStyle w:val="TableGrid"/>
        <w:tblW w:type="auto" w:w="0"/>
        <w:tblLook w:firstColumn="1" w:firstRow="1" w:lastColumn="0" w:lastRow="0" w:noHBand="0" w:noVBand="1" w:val="04A0"/>
      </w:tblPr>
      <w:tblGrid>
        <w:gridCol w:w="4986"/>
        <w:gridCol w:w="4986"/>
      </w:tblGrid>
      <w:tr>
        <w:tc>
          <w:tcPr>
            <w:tcW w:type="dxa" w:w="2835"/>
            <w:shd w:val="clear" w:color="auto" w:fill="0D0D1A"/>
          </w:tcPr>
          <w:p>
            <w:pPr>
              <w:spacing w:before="80" w:after="80"/>
              <w:jc w:val="left"/>
            </w:pPr>
            <w:r>
              <w:rPr>
                <w:b/>
                <w:i w:val="0"/>
                <w:color w:val="FFFFFF"/>
                <w:sz w:val="18"/>
              </w:rPr>
              <w:t>Benefit</w:t>
            </w:r>
          </w:p>
        </w:tc>
        <w:tc>
          <w:tcPr>
            <w:tcW w:type="dxa" w:w="6236"/>
            <w:shd w:val="clear" w:color="auto" w:fill="0D0D1A"/>
          </w:tcPr>
          <w:p>
            <w:pPr>
              <w:spacing w:before="80" w:after="80"/>
              <w:jc w:val="left"/>
            </w:pPr>
            <w:r>
              <w:rPr>
                <w:b/>
                <w:i w:val="0"/>
                <w:color w:val="FFFFFF"/>
                <w:sz w:val="18"/>
              </w:rPr>
              <w:t>Details</w:t>
            </w:r>
          </w:p>
        </w:tc>
      </w:tr>
      <w:tr>
        <w:tc>
          <w:tcPr>
            <w:tcW w:type="dxa" w:w="2835"/>
            <w:shd w:val="clear" w:color="auto" w:fill="FFFFFF"/>
          </w:tcPr>
          <w:p>
            <w:pPr>
              <w:spacing w:before="60" w:after="60"/>
              <w:jc w:val="left"/>
            </w:pPr>
            <w:r>
              <w:rPr>
                <w:b w:val="0"/>
                <w:i w:val="0"/>
                <w:sz w:val="18"/>
              </w:rPr>
              <w:t>Priority Technical Support</w:t>
            </w:r>
          </w:p>
        </w:tc>
        <w:tc>
          <w:tcPr>
            <w:tcW w:type="dxa" w:w="6236"/>
            <w:shd w:val="clear" w:color="auto" w:fill="FFFFFF"/>
          </w:tcPr>
          <w:p>
            <w:pPr>
              <w:spacing w:before="60" w:after="60"/>
              <w:jc w:val="left"/>
            </w:pPr>
            <w:r>
              <w:rPr>
                <w:b w:val="0"/>
                <w:i w:val="0"/>
                <w:sz w:val="18"/>
              </w:rPr>
              <w:t>Direct access to your dedicated developer. Response within 24 hours; same-day for critical issues.</w:t>
            </w:r>
          </w:p>
        </w:tc>
      </w:tr>
      <w:tr>
        <w:tc>
          <w:tcPr>
            <w:tcW w:type="dxa" w:w="2835"/>
            <w:shd w:val="clear" w:color="auto" w:fill="F5F5FB"/>
          </w:tcPr>
          <w:p>
            <w:pPr>
              <w:spacing w:before="60" w:after="60"/>
              <w:jc w:val="left"/>
            </w:pPr>
            <w:r>
              <w:rPr>
                <w:b w:val="0"/>
                <w:i w:val="0"/>
                <w:sz w:val="18"/>
              </w:rPr>
              <w:t>System Maintenance &amp; Monitoring</w:t>
            </w:r>
          </w:p>
        </w:tc>
        <w:tc>
          <w:tcPr>
            <w:tcW w:type="dxa" w:w="6236"/>
            <w:shd w:val="clear" w:color="auto" w:fill="F5F5FB"/>
          </w:tcPr>
          <w:p>
            <w:pPr>
              <w:spacing w:before="60" w:after="60"/>
              <w:jc w:val="left"/>
            </w:pPr>
            <w:r>
              <w:rPr>
                <w:b w:val="0"/>
                <w:i w:val="0"/>
                <w:sz w:val="18"/>
              </w:rPr>
              <w:t>Proactive uptime, database health, and security monitoring. Issues resolved before they reach you.</w:t>
            </w:r>
          </w:p>
        </w:tc>
      </w:tr>
      <w:tr>
        <w:tc>
          <w:tcPr>
            <w:tcW w:type="dxa" w:w="2835"/>
            <w:shd w:val="clear" w:color="auto" w:fill="FFFFFF"/>
          </w:tcPr>
          <w:p>
            <w:pPr>
              <w:spacing w:before="60" w:after="60"/>
              <w:jc w:val="left"/>
            </w:pPr>
            <w:r>
              <w:rPr>
                <w:b w:val="0"/>
                <w:i w:val="0"/>
                <w:sz w:val="18"/>
              </w:rPr>
              <w:t>Bug Fixes</w:t>
            </w:r>
          </w:p>
        </w:tc>
        <w:tc>
          <w:tcPr>
            <w:tcW w:type="dxa" w:w="6236"/>
            <w:shd w:val="clear" w:color="auto" w:fill="FFFFFF"/>
          </w:tcPr>
          <w:p>
            <w:pPr>
              <w:spacing w:before="60" w:after="60"/>
              <w:jc w:val="left"/>
            </w:pPr>
            <w:r>
              <w:rPr>
                <w:b w:val="0"/>
                <w:i w:val="0"/>
                <w:sz w:val="18"/>
              </w:rPr>
              <w:t>All identified bugs resolved at no additional charge throughout the retainer period.</w:t>
            </w:r>
          </w:p>
        </w:tc>
      </w:tr>
      <w:tr>
        <w:tc>
          <w:tcPr>
            <w:tcW w:type="dxa" w:w="2835"/>
            <w:shd w:val="clear" w:color="auto" w:fill="F5F5FB"/>
          </w:tcPr>
          <w:p>
            <w:pPr>
              <w:spacing w:before="60" w:after="60"/>
              <w:jc w:val="left"/>
            </w:pPr>
            <w:r>
              <w:rPr>
                <w:b w:val="0"/>
                <w:i w:val="0"/>
                <w:sz w:val="18"/>
              </w:rPr>
              <w:t>Minor Enhancements</w:t>
            </w:r>
          </w:p>
        </w:tc>
        <w:tc>
          <w:tcPr>
            <w:tcW w:type="dxa" w:w="6236"/>
            <w:shd w:val="clear" w:color="auto" w:fill="F5F5FB"/>
          </w:tcPr>
          <w:p>
            <w:pPr>
              <w:spacing w:before="60" w:after="60"/>
              <w:jc w:val="left"/>
            </w:pPr>
            <w:r>
              <w:rPr>
                <w:b w:val="0"/>
                <w:i w:val="0"/>
                <w:sz w:val="18"/>
              </w:rPr>
              <w:t>Small improvements within agreed scope included monthly at no extra cost.</w:t>
            </w:r>
          </w:p>
        </w:tc>
      </w:tr>
      <w:tr>
        <w:tc>
          <w:tcPr>
            <w:tcW w:type="dxa" w:w="2835"/>
            <w:shd w:val="clear" w:color="auto" w:fill="FFFFFF"/>
          </w:tcPr>
          <w:p>
            <w:pPr>
              <w:spacing w:before="60" w:after="60"/>
              <w:jc w:val="left"/>
            </w:pPr>
            <w:r>
              <w:rPr>
                <w:b w:val="0"/>
                <w:i w:val="0"/>
                <w:sz w:val="18"/>
              </w:rPr>
              <w:t>Monthly System Health Report</w:t>
            </w:r>
          </w:p>
        </w:tc>
        <w:tc>
          <w:tcPr>
            <w:tcW w:type="dxa" w:w="6236"/>
            <w:shd w:val="clear" w:color="auto" w:fill="FFFFFF"/>
          </w:tcPr>
          <w:p>
            <w:pPr>
              <w:spacing w:before="60" w:after="60"/>
              <w:jc w:val="left"/>
            </w:pPr>
            <w:r>
              <w:rPr>
                <w:b w:val="0"/>
                <w:i w:val="0"/>
                <w:sz w:val="18"/>
              </w:rPr>
              <w:t>A summary of system activity, uptime record, and all improvements made that month.</w:t>
            </w:r>
          </w:p>
        </w:tc>
      </w:tr>
      <w:tr>
        <w:tc>
          <w:tcPr>
            <w:tcW w:type="dxa" w:w="2835"/>
            <w:shd w:val="clear" w:color="auto" w:fill="F5F5FB"/>
          </w:tcPr>
          <w:p>
            <w:pPr>
              <w:spacing w:before="60" w:after="60"/>
              <w:jc w:val="left"/>
            </w:pPr>
            <w:r>
              <w:rPr>
                <w:b w:val="0"/>
                <w:i w:val="0"/>
                <w:sz w:val="18"/>
              </w:rPr>
              <w:t>Roadmap Consultations</w:t>
            </w:r>
          </w:p>
        </w:tc>
        <w:tc>
          <w:tcPr>
            <w:tcW w:type="dxa" w:w="6236"/>
            <w:shd w:val="clear" w:color="auto" w:fill="F5F5FB"/>
          </w:tcPr>
          <w:p>
            <w:pPr>
              <w:spacing w:before="60" w:after="60"/>
              <w:jc w:val="left"/>
            </w:pPr>
            <w:r>
              <w:rPr>
                <w:b w:val="0"/>
                <w:i w:val="0"/>
                <w:sz w:val="18"/>
              </w:rPr>
              <w:t>Monthly touchpoint to discuss upcoming needs, enhancements, or evolving requirements.</w:t>
            </w:r>
          </w:p>
        </w:tc>
      </w:tr>
      <w:tr>
        <w:tc>
          <w:tcPr>
            <w:tcW w:type="dxa" w:w="2835"/>
            <w:shd w:val="clear" w:color="auto" w:fill="FFFFFF"/>
          </w:tcPr>
          <w:p>
            <w:pPr>
              <w:spacing w:before="60" w:after="60"/>
              <w:jc w:val="left"/>
            </w:pPr>
            <w:r>
              <w:rPr>
                <w:b w:val="0"/>
                <w:i w:val="0"/>
                <w:sz w:val="18"/>
              </w:rPr>
              <w:t>User Management Assistance</w:t>
            </w:r>
          </w:p>
        </w:tc>
        <w:tc>
          <w:tcPr>
            <w:tcW w:type="dxa" w:w="6236"/>
            <w:shd w:val="clear" w:color="auto" w:fill="FFFFFF"/>
          </w:tcPr>
          <w:p>
            <w:pPr>
              <w:spacing w:before="60" w:after="60"/>
              <w:jc w:val="left"/>
            </w:pPr>
            <w:r>
              <w:rPr>
                <w:b w:val="0"/>
                <w:i w:val="0"/>
                <w:sz w:val="18"/>
              </w:rPr>
              <w:t>Support with student and facilitator onboarding, QR resets, and account issues.</w:t>
            </w:r>
          </w:p>
        </w:tc>
      </w:tr>
    </w:tbl>
    <w:p/>
    <w:tbl>
      <w:tblPr>
        <w:tblStyle w:val="TableGrid"/>
        <w:tblW w:type="auto" w:w="0"/>
        <w:jc w:val="center"/>
        <w:tblLook w:firstColumn="1" w:firstRow="1" w:lastColumn="0" w:lastRow="0" w:noHBand="0" w:noVBand="1" w:val="04A0"/>
      </w:tblPr>
      <w:tblGrid>
        <w:gridCol w:w="9972"/>
      </w:tblGrid>
      <w:tr>
        <w:trPr>
          <w:trHeight w:val="425" w:hRule="atLeast"/>
        </w:trPr>
        <w:tc>
          <w:tcPr>
            <w:tcW w:type="dxa" w:w="9972"/>
            <w:shd w:val="clear" w:color="auto" w:fill="0D0D1A"/>
          </w:tcPr>
          <w:p>
            <w:pPr>
              <w:spacing w:before="80" w:after="80"/>
              <w:jc w:val="left"/>
            </w:pPr>
            <w:r>
              <w:rPr>
                <w:b/>
                <w:color w:val="D4AF37"/>
                <w:sz w:val="22"/>
              </w:rPr>
              <w:t xml:space="preserve">07   </w:t>
            </w:r>
            <w:r>
              <w:rPr>
                <w:b/>
                <w:color w:val="FFFFFF"/>
                <w:sz w:val="22"/>
              </w:rPr>
              <w:t>PAYMENT TERMS</w:t>
            </w:r>
          </w:p>
        </w:tc>
      </w:tr>
    </w:tbl>
    <w:p/>
    <w:tbl>
      <w:tblPr>
        <w:tblStyle w:val="TableGrid"/>
        <w:tblW w:type="auto" w:w="0"/>
        <w:tblLook w:firstColumn="1" w:firstRow="1" w:lastColumn="0" w:lastRow="0" w:noHBand="0" w:noVBand="1" w:val="04A0"/>
      </w:tblPr>
      <w:tblGrid>
        <w:gridCol w:w="4986"/>
        <w:gridCol w:w="4986"/>
      </w:tblGrid>
      <w:tr>
        <w:tc>
          <w:tcPr>
            <w:tcW w:type="dxa" w:w="2551"/>
            <w:shd w:val="clear" w:color="auto" w:fill="0D0D1A"/>
          </w:tcPr>
          <w:p>
            <w:pPr>
              <w:spacing w:before="80" w:after="80"/>
              <w:jc w:val="left"/>
            </w:pPr>
            <w:r>
              <w:rPr>
                <w:b/>
                <w:i w:val="0"/>
                <w:color w:val="FFFFFF"/>
                <w:sz w:val="18"/>
              </w:rPr>
              <w:t>Term</w:t>
            </w:r>
          </w:p>
        </w:tc>
        <w:tc>
          <w:tcPr>
            <w:tcW w:type="dxa" w:w="6520"/>
            <w:shd w:val="clear" w:color="auto" w:fill="0D0D1A"/>
          </w:tcPr>
          <w:p>
            <w:pPr>
              <w:spacing w:before="80" w:after="80"/>
              <w:jc w:val="left"/>
            </w:pPr>
            <w:r>
              <w:rPr>
                <w:b/>
                <w:i w:val="0"/>
                <w:color w:val="FFFFFF"/>
                <w:sz w:val="18"/>
              </w:rPr>
              <w:t>Details</w:t>
            </w:r>
          </w:p>
        </w:tc>
      </w:tr>
      <w:tr>
        <w:tc>
          <w:tcPr>
            <w:tcW w:type="dxa" w:w="2551"/>
            <w:shd w:val="clear" w:color="auto" w:fill="FFFFFF"/>
          </w:tcPr>
          <w:p>
            <w:pPr>
              <w:spacing w:before="60" w:after="60"/>
              <w:jc w:val="left"/>
            </w:pPr>
            <w:r>
              <w:rPr>
                <w:b w:val="0"/>
                <w:i w:val="0"/>
                <w:sz w:val="18"/>
              </w:rPr>
              <w:t>Build Investment</w:t>
            </w:r>
          </w:p>
        </w:tc>
        <w:tc>
          <w:tcPr>
            <w:tcW w:type="dxa" w:w="6520"/>
            <w:shd w:val="clear" w:color="auto" w:fill="FFFFFF"/>
          </w:tcPr>
          <w:p>
            <w:pPr>
              <w:spacing w:before="60" w:after="60"/>
              <w:jc w:val="left"/>
            </w:pPr>
            <w:r>
              <w:rPr>
                <w:b w:val="0"/>
                <w:i w:val="0"/>
                <w:sz w:val="18"/>
              </w:rPr>
              <w:t>Due upon signing of this amended agreement (Option A: ₱27,500 or Option B: ₱30,000).</w:t>
            </w:r>
          </w:p>
        </w:tc>
      </w:tr>
      <w:tr>
        <w:tc>
          <w:tcPr>
            <w:tcW w:type="dxa" w:w="2551"/>
            <w:shd w:val="clear" w:color="auto" w:fill="F5F5FB"/>
          </w:tcPr>
          <w:p>
            <w:pPr>
              <w:spacing w:before="60" w:after="60"/>
              <w:jc w:val="left"/>
            </w:pPr>
            <w:r>
              <w:rPr>
                <w:b w:val="0"/>
                <w:i w:val="0"/>
                <w:sz w:val="18"/>
              </w:rPr>
              <w:t>Retainer Start</w:t>
            </w:r>
          </w:p>
        </w:tc>
        <w:tc>
          <w:tcPr>
            <w:tcW w:type="dxa" w:w="6520"/>
            <w:shd w:val="clear" w:color="auto" w:fill="F5F5FB"/>
          </w:tcPr>
          <w:p>
            <w:pPr>
              <w:spacing w:before="60" w:after="60"/>
              <w:jc w:val="left"/>
            </w:pPr>
            <w:r>
              <w:rPr>
                <w:b w:val="0"/>
                <w:i w:val="0"/>
                <w:sz w:val="18"/>
              </w:rPr>
              <w:t>₱5,000.00/month begins on the system go-live date (unchanged from original agreement).</w:t>
            </w:r>
          </w:p>
        </w:tc>
      </w:tr>
      <w:tr>
        <w:tc>
          <w:tcPr>
            <w:tcW w:type="dxa" w:w="2551"/>
            <w:shd w:val="clear" w:color="auto" w:fill="FFFFFF"/>
          </w:tcPr>
          <w:p>
            <w:pPr>
              <w:spacing w:before="60" w:after="60"/>
              <w:jc w:val="left"/>
            </w:pPr>
            <w:r>
              <w:rPr>
                <w:b w:val="0"/>
                <w:i w:val="0"/>
                <w:sz w:val="18"/>
              </w:rPr>
              <w:t>Retainer Billing</w:t>
            </w:r>
          </w:p>
        </w:tc>
        <w:tc>
          <w:tcPr>
            <w:tcW w:type="dxa" w:w="6520"/>
            <w:shd w:val="clear" w:color="auto" w:fill="FFFFFF"/>
          </w:tcPr>
          <w:p>
            <w:pPr>
              <w:spacing w:before="60" w:after="60"/>
              <w:jc w:val="left"/>
            </w:pPr>
            <w:r>
              <w:rPr>
                <w:b w:val="0"/>
                <w:i w:val="0"/>
                <w:sz w:val="18"/>
              </w:rPr>
              <w:t>Billed at the start of each calendar month.</w:t>
            </w:r>
          </w:p>
        </w:tc>
      </w:tr>
      <w:tr>
        <w:tc>
          <w:tcPr>
            <w:tcW w:type="dxa" w:w="2551"/>
            <w:shd w:val="clear" w:color="auto" w:fill="F5F5FB"/>
          </w:tcPr>
          <w:p>
            <w:pPr>
              <w:spacing w:before="60" w:after="60"/>
              <w:jc w:val="left"/>
            </w:pPr>
            <w:r>
              <w:rPr>
                <w:b w:val="0"/>
                <w:i w:val="0"/>
                <w:sz w:val="18"/>
              </w:rPr>
              <w:t>Resend Pro (Option B)</w:t>
            </w:r>
          </w:p>
        </w:tc>
        <w:tc>
          <w:tcPr>
            <w:tcW w:type="dxa" w:w="6520"/>
            <w:shd w:val="clear" w:color="auto" w:fill="F5F5FB"/>
          </w:tcPr>
          <w:p>
            <w:pPr>
              <w:spacing w:before="60" w:after="60"/>
              <w:jc w:val="left"/>
            </w:pPr>
            <w:r>
              <w:rPr>
                <w:b w:val="0"/>
                <w:i w:val="0"/>
                <w:sz w:val="18"/>
              </w:rPr>
              <w:t>USD $20.00/month — subscribed and paid directly by the department through Resend's billing portal.</w:t>
            </w:r>
          </w:p>
        </w:tc>
      </w:tr>
      <w:tr>
        <w:tc>
          <w:tcPr>
            <w:tcW w:type="dxa" w:w="2551"/>
            <w:shd w:val="clear" w:color="auto" w:fill="FFFFFF"/>
          </w:tcPr>
          <w:p>
            <w:pPr>
              <w:spacing w:before="60" w:after="60"/>
              <w:jc w:val="left"/>
            </w:pPr>
            <w:r>
              <w:rPr>
                <w:b w:val="0"/>
                <w:i w:val="0"/>
                <w:sz w:val="18"/>
              </w:rPr>
              <w:t>Domain</w:t>
            </w:r>
          </w:p>
        </w:tc>
        <w:tc>
          <w:tcPr>
            <w:tcW w:type="dxa" w:w="6520"/>
            <w:shd w:val="clear" w:color="auto" w:fill="FFFFFF"/>
          </w:tcPr>
          <w:p>
            <w:pPr>
              <w:spacing w:before="60" w:after="60"/>
              <w:jc w:val="left"/>
            </w:pPr>
            <w:r>
              <w:rPr>
                <w:b w:val="0"/>
                <w:i w:val="0"/>
                <w:sz w:val="18"/>
              </w:rPr>
              <w:t>USD 11.08/year — billed separately upon domain registration. Coordinated by Cascade Development Group.</w:t>
            </w:r>
          </w:p>
        </w:tc>
      </w:tr>
      <w:tr>
        <w:tc>
          <w:tcPr>
            <w:tcW w:type="dxa" w:w="2551"/>
            <w:shd w:val="clear" w:color="auto" w:fill="F5F5FB"/>
          </w:tcPr>
          <w:p>
            <w:pPr>
              <w:spacing w:before="60" w:after="60"/>
              <w:jc w:val="left"/>
            </w:pPr>
            <w:r>
              <w:rPr>
                <w:b w:val="0"/>
                <w:i w:val="0"/>
                <w:sz w:val="18"/>
              </w:rPr>
              <w:t>Payment Method</w:t>
            </w:r>
          </w:p>
        </w:tc>
        <w:tc>
          <w:tcPr>
            <w:tcW w:type="dxa" w:w="6520"/>
            <w:shd w:val="clear" w:color="auto" w:fill="F5F5FB"/>
          </w:tcPr>
          <w:p>
            <w:pPr>
              <w:spacing w:before="60" w:after="60"/>
              <w:jc w:val="left"/>
            </w:pPr>
            <w:r>
              <w:rPr>
                <w:b w:val="0"/>
                <w:i w:val="0"/>
                <w:sz w:val="18"/>
              </w:rPr>
              <w:t>To be confirmed upon signing (GCash / Bank Transfer).</w:t>
            </w:r>
          </w:p>
        </w:tc>
      </w:tr>
    </w:tbl>
    <w:p/>
    <w:tbl>
      <w:tblPr>
        <w:tblStyle w:val="TableGrid"/>
        <w:tblW w:type="auto" w:w="0"/>
        <w:jc w:val="center"/>
        <w:tblLook w:firstColumn="1" w:firstRow="1" w:lastColumn="0" w:lastRow="0" w:noHBand="0" w:noVBand="1" w:val="04A0"/>
      </w:tblPr>
      <w:tblGrid>
        <w:gridCol w:w="9972"/>
      </w:tblGrid>
      <w:tr>
        <w:trPr>
          <w:trHeight w:val="425" w:hRule="atLeast"/>
        </w:trPr>
        <w:tc>
          <w:tcPr>
            <w:tcW w:type="dxa" w:w="9972"/>
            <w:shd w:val="clear" w:color="auto" w:fill="0D0D1A"/>
          </w:tcPr>
          <w:p>
            <w:pPr>
              <w:spacing w:before="80" w:after="80"/>
              <w:jc w:val="left"/>
            </w:pPr>
            <w:r>
              <w:rPr>
                <w:b/>
                <w:color w:val="D4AF37"/>
                <w:sz w:val="22"/>
              </w:rPr>
              <w:t xml:space="preserve">08   </w:t>
            </w:r>
            <w:r>
              <w:rPr>
                <w:b/>
                <w:color w:val="FFFFFF"/>
                <w:sz w:val="22"/>
              </w:rPr>
              <w:t>PARTNERSHIP COMMITMENTS</w:t>
            </w:r>
          </w:p>
        </w:tc>
      </w:tr>
    </w:tbl>
    <w:p/>
    <w:p>
      <w:pPr>
        <w:spacing w:after="120"/>
      </w:pPr>
      <w:r>
        <w:rPr>
          <w:b/>
          <w:i w:val="0"/>
          <w:sz w:val="20"/>
        </w:rPr>
        <w:t>Cascade Development Group commits to:</w:t>
      </w:r>
    </w:p>
    <w:p>
      <w:pPr>
        <w:pStyle w:val="ListBullet"/>
        <w:spacing w:before="40" w:after="40"/>
      </w:pPr>
      <w:r>
        <w:rPr>
          <w:sz w:val="20"/>
        </w:rPr>
        <w:t>Deliver all four new features (Email Notification, Profile Picture Upload, UI Redesign, Merch Catalogue) as described in this agreement</w:t>
      </w:r>
    </w:p>
    <w:p>
      <w:pPr>
        <w:pStyle w:val="ListBullet"/>
        <w:spacing w:before="40" w:after="40"/>
      </w:pPr>
      <w:r>
        <w:rPr>
          <w:sz w:val="20"/>
        </w:rPr>
        <w:t>Maintain PharmaTrack as a dedicated, high-availability system throughout the retainer period</w:t>
      </w:r>
    </w:p>
    <w:p>
      <w:pPr>
        <w:pStyle w:val="ListBullet"/>
        <w:spacing w:before="40" w:after="40"/>
      </w:pPr>
      <w:r>
        <w:rPr>
          <w:sz w:val="20"/>
        </w:rPr>
        <w:t>Provide timely, transparent communication on all system changes and updates</w:t>
      </w:r>
    </w:p>
    <w:p>
      <w:pPr>
        <w:pStyle w:val="ListBullet"/>
        <w:spacing w:before="40" w:after="40"/>
      </w:pPr>
      <w:r>
        <w:rPr>
          <w:sz w:val="20"/>
        </w:rPr>
        <w:t>Deliver monthly health reports and proactive improvement suggestions</w:t>
      </w:r>
    </w:p>
    <w:p>
      <w:pPr>
        <w:pStyle w:val="ListBullet"/>
        <w:spacing w:before="40" w:after="40"/>
      </w:pPr>
      <w:r>
        <w:rPr>
          <w:sz w:val="20"/>
        </w:rPr>
        <w:t>Treat all departmental data with the highest standard of care and confidentiality</w:t>
      </w:r>
    </w:p>
    <w:p>
      <w:pPr>
        <w:pStyle w:val="ListBullet"/>
        <w:spacing w:before="40" w:after="40"/>
      </w:pPr>
      <w:r>
        <w:rPr>
          <w:sz w:val="20"/>
        </w:rPr>
        <w:t>Be a responsive, accountable partner — not just a service provider</w:t>
      </w:r>
    </w:p>
    <w:p/>
    <w:p>
      <w:pPr>
        <w:spacing w:after="120"/>
      </w:pPr>
      <w:r>
        <w:rPr>
          <w:b/>
          <w:i w:val="0"/>
          <w:sz w:val="20"/>
        </w:rPr>
        <w:t>University of San Agustín — College of Pharmacy commits to:</w:t>
      </w:r>
    </w:p>
    <w:p>
      <w:pPr>
        <w:pStyle w:val="ListBullet"/>
        <w:spacing w:before="40" w:after="40"/>
      </w:pPr>
      <w:r>
        <w:rPr>
          <w:sz w:val="20"/>
        </w:rPr>
        <w:t>Select and confirm the chosen option (A or B) upon signing</w:t>
      </w:r>
    </w:p>
    <w:p>
      <w:pPr>
        <w:pStyle w:val="ListBullet"/>
        <w:spacing w:before="40" w:after="40"/>
      </w:pPr>
      <w:r>
        <w:rPr>
          <w:sz w:val="20"/>
        </w:rPr>
        <w:t>If Option B is selected, subscribe to the Resend Pro Plan via Resend's billing portal</w:t>
      </w:r>
    </w:p>
    <w:p>
      <w:pPr>
        <w:pStyle w:val="ListBullet"/>
        <w:spacing w:before="40" w:after="40"/>
      </w:pPr>
      <w:r>
        <w:rPr>
          <w:sz w:val="20"/>
        </w:rPr>
        <w:t>Designate at least one system administrator from the department</w:t>
      </w:r>
    </w:p>
    <w:p>
      <w:pPr>
        <w:pStyle w:val="ListBullet"/>
        <w:spacing w:before="40" w:after="40"/>
      </w:pPr>
      <w:r>
        <w:rPr>
          <w:sz w:val="20"/>
        </w:rPr>
        <w:t>Provide timely feedback on system behavior, issues, or change requests</w:t>
      </w:r>
    </w:p>
    <w:p>
      <w:pPr>
        <w:pStyle w:val="ListBullet"/>
        <w:spacing w:before="40" w:after="40"/>
      </w:pPr>
      <w:r>
        <w:rPr>
          <w:sz w:val="20"/>
        </w:rPr>
        <w:t>Ensure student enrollment data accuracy for QR registration</w:t>
      </w:r>
    </w:p>
    <w:p>
      <w:pPr>
        <w:pStyle w:val="ListBullet"/>
        <w:spacing w:before="40" w:after="40"/>
      </w:pPr>
      <w:r>
        <w:rPr>
          <w:sz w:val="20"/>
        </w:rPr>
        <w:t>Honor the agreed payment schedule to maintain uninterrupted service</w:t>
      </w:r>
    </w:p>
    <w:p/>
    <w:tbl>
      <w:tblPr>
        <w:tblStyle w:val="TableGrid"/>
        <w:tblW w:type="auto" w:w="0"/>
        <w:jc w:val="center"/>
        <w:tblLook w:firstColumn="1" w:firstRow="1" w:lastColumn="0" w:lastRow="0" w:noHBand="0" w:noVBand="1" w:val="04A0"/>
      </w:tblPr>
      <w:tblGrid>
        <w:gridCol w:w="9972"/>
      </w:tblGrid>
      <w:tr>
        <w:trPr>
          <w:trHeight w:val="425" w:hRule="atLeast"/>
        </w:trPr>
        <w:tc>
          <w:tcPr>
            <w:tcW w:type="dxa" w:w="9972"/>
            <w:shd w:val="clear" w:color="auto" w:fill="0D0D1A"/>
          </w:tcPr>
          <w:p>
            <w:pPr>
              <w:spacing w:before="80" w:after="80"/>
              <w:jc w:val="left"/>
            </w:pPr>
            <w:r>
              <w:rPr>
                <w:b/>
                <w:color w:val="D4AF37"/>
                <w:sz w:val="22"/>
              </w:rPr>
              <w:t xml:space="preserve">09   </w:t>
            </w:r>
            <w:r>
              <w:rPr>
                <w:b/>
                <w:color w:val="FFFFFF"/>
                <w:sz w:val="22"/>
              </w:rPr>
              <w:t>SELECTED OPTION</w:t>
            </w:r>
          </w:p>
        </w:tc>
      </w:tr>
    </w:tbl>
    <w:p/>
    <w:p>
      <w:pPr>
        <w:spacing w:after="120"/>
      </w:pPr>
      <w:r>
        <w:rPr>
          <w:b w:val="0"/>
          <w:i w:val="0"/>
          <w:sz w:val="20"/>
        </w:rPr>
        <w:t>Please mark the selected option before signing:</w:t>
      </w:r>
    </w:p>
    <w:tbl>
      <w:tblPr>
        <w:tblStyle w:val="TableGrid"/>
        <w:tblW w:type="auto" w:w="0"/>
        <w:tblLook w:firstColumn="1" w:firstRow="1" w:lastColumn="0" w:lastRow="0" w:noHBand="0" w:noVBand="1" w:val="04A0"/>
      </w:tblPr>
      <w:tblGrid>
        <w:gridCol w:w="4986"/>
        <w:gridCol w:w="4986"/>
      </w:tblGrid>
      <w:tr>
        <w:tc>
          <w:tcPr>
            <w:tcW w:type="dxa" w:w="850"/>
            <w:shd w:val="clear" w:color="auto" w:fill="EEEEF6"/>
          </w:tcPr>
          <w:p>
            <w:pPr>
              <w:spacing w:before="280"/>
              <w:jc w:val="center"/>
            </w:pPr>
            <w:r>
              <w:rPr>
                <w:color w:val="333344"/>
                <w:sz w:val="44"/>
              </w:rPr>
              <w:t>☐</w:t>
            </w:r>
          </w:p>
        </w:tc>
        <w:tc>
          <w:tcPr>
            <w:tcW w:type="dxa" w:w="4986"/>
            <w:shd w:val="clear" w:color="auto" w:fill="F9F9FC"/>
          </w:tcPr>
          <w:p>
            <w:pPr>
              <w:spacing w:before="160"/>
            </w:pPr>
            <w:r>
              <w:rPr>
                <w:b/>
                <w:color w:val="333344"/>
                <w:sz w:val="22"/>
              </w:rPr>
              <w:t xml:space="preserve">Option A — Standard Plan  </w:t>
            </w:r>
            <w:r>
              <w:rPr>
                <w:b/>
                <w:color w:val="333344"/>
                <w:sz w:val="26"/>
              </w:rPr>
              <w:t>₱27,500.00</w:t>
            </w:r>
          </w:p>
          <w:p>
            <w:pPr>
              <w:spacing w:before="40" w:after="160"/>
            </w:pPr>
            <w:r>
              <w:rPr>
                <w:color w:val="444466"/>
                <w:sz w:val="18"/>
              </w:rPr>
              <w:t>All features. Resend free tier — 100 emails/day cap. Full 800-student broadcast takes 8 days. No additional monthly software cost.</w:t>
            </w:r>
          </w:p>
        </w:tc>
      </w:tr>
      <w:tr>
        <w:tc>
          <w:tcPr>
            <w:tcW w:type="dxa" w:w="850"/>
            <w:shd w:val="clear" w:color="auto" w:fill="D1FAE5"/>
          </w:tcPr>
          <w:p>
            <w:pPr>
              <w:spacing w:before="280"/>
              <w:jc w:val="center"/>
            </w:pPr>
            <w:r>
              <w:rPr>
                <w:color w:val="10B981"/>
                <w:sz w:val="44"/>
              </w:rPr>
              <w:t>☐</w:t>
            </w:r>
          </w:p>
        </w:tc>
        <w:tc>
          <w:tcPr>
            <w:tcW w:type="dxa" w:w="4986"/>
            <w:shd w:val="clear" w:color="auto" w:fill="ECFDF5"/>
          </w:tcPr>
          <w:p>
            <w:pPr>
              <w:spacing w:before="160"/>
            </w:pPr>
            <w:r>
              <w:rPr>
                <w:b/>
                <w:color w:val="10B981"/>
                <w:sz w:val="22"/>
              </w:rPr>
              <w:t xml:space="preserve">Option B — Full Plan (Recommended)  </w:t>
            </w:r>
            <w:r>
              <w:rPr>
                <w:b/>
                <w:color w:val="10B981"/>
                <w:sz w:val="26"/>
              </w:rPr>
              <w:t>₱30,000.00</w:t>
            </w:r>
          </w:p>
          <w:p>
            <w:pPr>
              <w:spacing w:before="40" w:after="160"/>
            </w:pPr>
            <w:r>
              <w:rPr>
                <w:color w:val="444466"/>
                <w:sz w:val="18"/>
              </w:rPr>
              <w:t>All features + Resend Pro Plan. Full 800-student broadcast capacity. + USD $20.00/month billed to department by Resend.</w:t>
            </w:r>
          </w:p>
        </w:tc>
      </w:tr>
    </w:tbl>
    <w:p/>
    <w:tbl>
      <w:tblPr>
        <w:tblStyle w:val="TableGrid"/>
        <w:tblW w:type="auto" w:w="0"/>
        <w:jc w:val="center"/>
        <w:tblLook w:firstColumn="1" w:firstRow="1" w:lastColumn="0" w:lastRow="0" w:noHBand="0" w:noVBand="1" w:val="04A0"/>
      </w:tblPr>
      <w:tblGrid>
        <w:gridCol w:w="9972"/>
      </w:tblGrid>
      <w:tr>
        <w:trPr>
          <w:trHeight w:val="425" w:hRule="atLeast"/>
        </w:trPr>
        <w:tc>
          <w:tcPr>
            <w:tcW w:type="dxa" w:w="9972"/>
            <w:shd w:val="clear" w:color="auto" w:fill="0D0D1A"/>
          </w:tcPr>
          <w:p>
            <w:pPr>
              <w:spacing w:before="80" w:after="80"/>
              <w:jc w:val="left"/>
            </w:pPr>
            <w:r>
              <w:rPr>
                <w:b/>
                <w:color w:val="D4AF37"/>
                <w:sz w:val="22"/>
              </w:rPr>
              <w:t xml:space="preserve">10   </w:t>
            </w:r>
            <w:r>
              <w:rPr>
                <w:b/>
                <w:color w:val="FFFFFF"/>
                <w:sz w:val="22"/>
              </w:rPr>
              <w:t>ACCEPTANCE &amp; SIGNATURES</w:t>
            </w:r>
          </w:p>
        </w:tc>
      </w:tr>
    </w:tbl>
    <w:p/>
    <w:p>
      <w:pPr>
        <w:spacing w:after="120"/>
      </w:pPr>
      <w:r>
        <w:rPr>
          <w:b w:val="0"/>
          <w:i w:val="0"/>
          <w:sz w:val="20"/>
        </w:rPr>
        <w:t>By signing below, both parties agree to the terms of this Amended Partnership Proposal &amp; Service Agreement and commit to the responsibilities outlined herein. This document supersedes the original agreement (CDG-2025-001) with respect to the investment summary and feature scope.</w:t>
      </w:r>
    </w:p>
    <w:tbl>
      <w:tblPr>
        <w:tblStyle w:val="TableGrid"/>
        <w:tblW w:type="auto" w:w="0"/>
        <w:tblLook w:firstColumn="1" w:firstRow="1" w:lastColumn="0" w:lastRow="0" w:noHBand="0" w:noVBand="1" w:val="04A0"/>
      </w:tblPr>
      <w:tblGrid>
        <w:gridCol w:w="4986"/>
        <w:gridCol w:w="4986"/>
      </w:tblGrid>
      <w:tr>
        <w:tc>
          <w:tcPr>
            <w:tcW w:type="dxa" w:w="4986"/>
            <w:shd w:val="clear" w:color="auto" w:fill="F5F5FB"/>
          </w:tcPr>
          <w:p>
            <w:pPr>
              <w:spacing w:before="200"/>
            </w:pPr>
            <w:r>
              <w:rPr>
                <w:b/>
                <w:color w:val="0D0D1A"/>
                <w:sz w:val="20"/>
              </w:rPr>
              <w:t>CASCADE DEVELOPMENT GROUP</w:t>
            </w:r>
          </w:p>
          <w:p>
            <w:r>
              <w:rPr>
                <w:i/>
                <w:color w:val="666688"/>
                <w:sz w:val="18"/>
              </w:rPr>
              <w:t>Technology Partner</w:t>
            </w:r>
          </w:p>
          <w:p>
            <w:pPr>
              <w:spacing w:before="280" w:after="40"/>
            </w:pPr>
            <w:r>
              <w:rPr>
                <w:color w:val="333344"/>
                <w:sz w:val="18"/>
              </w:rPr>
              <w:t>Authorized Signature:  _______________________________</w:t>
            </w:r>
          </w:p>
          <w:p>
            <w:pPr>
              <w:spacing w:before="280" w:after="40"/>
            </w:pPr>
            <w:r>
              <w:rPr>
                <w:color w:val="333344"/>
                <w:sz w:val="18"/>
              </w:rPr>
              <w:t>Name &amp; Title:  _______________________________</w:t>
            </w:r>
          </w:p>
          <w:p>
            <w:pPr>
              <w:spacing w:before="280" w:after="40"/>
            </w:pPr>
            <w:r>
              <w:rPr>
                <w:color w:val="333344"/>
                <w:sz w:val="18"/>
              </w:rPr>
              <w:t>Date:  _______________________________</w:t>
            </w:r>
          </w:p>
          <w:p>
            <w:pPr>
              <w:spacing w:before="280" w:after="240"/>
            </w:pPr>
            <w:r>
              <w:rPr>
                <w:color w:val="333344"/>
                <w:sz w:val="18"/>
              </w:rPr>
              <w:t>Selected Option (A / B):  _______________________________</w:t>
            </w:r>
          </w:p>
        </w:tc>
        <w:tc>
          <w:tcPr>
            <w:tcW w:type="dxa" w:w="4986"/>
            <w:shd w:val="clear" w:color="auto" w:fill="F0F0F8"/>
          </w:tcPr>
          <w:p>
            <w:pPr>
              <w:spacing w:before="200"/>
            </w:pPr>
            <w:r>
              <w:rPr>
                <w:b/>
                <w:color w:val="0D0D1A"/>
                <w:sz w:val="20"/>
              </w:rPr>
              <w:t>UNIVERSITY OF SAN AGUSTÍN</w:t>
            </w:r>
          </w:p>
          <w:p>
            <w:r>
              <w:rPr>
                <w:i/>
                <w:color w:val="666688"/>
                <w:sz w:val="18"/>
              </w:rPr>
              <w:t>College of Pharmacy — Authorized Representative</w:t>
            </w:r>
          </w:p>
          <w:p>
            <w:pPr>
              <w:spacing w:before="280" w:after="40"/>
            </w:pPr>
            <w:r>
              <w:rPr>
                <w:color w:val="333344"/>
                <w:sz w:val="18"/>
              </w:rPr>
              <w:t>Authorized Signature:  _______________________________</w:t>
            </w:r>
          </w:p>
          <w:p>
            <w:pPr>
              <w:spacing w:before="280" w:after="40"/>
            </w:pPr>
            <w:r>
              <w:rPr>
                <w:color w:val="333344"/>
                <w:sz w:val="18"/>
              </w:rPr>
              <w:t>Name &amp; Title:  _______________________________</w:t>
            </w:r>
          </w:p>
          <w:p>
            <w:pPr>
              <w:spacing w:before="280" w:after="40"/>
            </w:pPr>
            <w:r>
              <w:rPr>
                <w:color w:val="333344"/>
                <w:sz w:val="18"/>
              </w:rPr>
              <w:t>Date:  _______________________________</w:t>
            </w:r>
          </w:p>
          <w:p>
            <w:pPr>
              <w:spacing w:before="280" w:after="240"/>
            </w:pPr>
            <w:r>
              <w:rPr>
                <w:color w:val="333344"/>
                <w:sz w:val="18"/>
              </w:rPr>
              <w:t>Selected Option (A / B):  _______________________________</w:t>
            </w:r>
          </w:p>
        </w:tc>
      </w:tr>
    </w:tbl>
    <w:p/>
    <w:tbl>
      <w:tblPr>
        <w:tblStyle w:val="TableGrid"/>
        <w:tblW w:type="auto" w:w="0"/>
        <w:tblLook w:firstColumn="1" w:firstRow="1" w:lastColumn="0" w:lastRow="0" w:noHBand="0" w:noVBand="1" w:val="04A0"/>
      </w:tblPr>
      <w:tblGrid>
        <w:gridCol w:w="9972"/>
      </w:tblGrid>
      <w:tr>
        <w:tc>
          <w:tcPr>
            <w:tcW w:type="dxa" w:w="9972"/>
            <w:shd w:val="clear" w:color="auto" w:fill="0D0D1A"/>
          </w:tcPr>
          <w:p>
            <w:pPr>
              <w:spacing w:before="120" w:after="120"/>
              <w:jc w:val="center"/>
            </w:pPr>
            <w:r>
              <w:rPr>
                <w:color w:val="A0A0C0"/>
                <w:sz w:val="16"/>
              </w:rPr>
              <w:t xml:space="preserve">PharmaTrack — Cascade Development Group  |  </w:t>
            </w:r>
            <w:r>
              <w:rPr>
                <w:color w:val="D4AF37"/>
                <w:sz w:val="16"/>
              </w:rPr>
              <w:t>Contract No. CDG-2026-002  |  June 2026</w:t>
            </w:r>
            <w:r>
              <w:rPr>
                <w:color w:val="A0A0C0"/>
                <w:sz w:val="16"/>
              </w:rPr>
              <w:t xml:space="preserve">  |  Confidential</w:t>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