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EB7FF8" w:rsidP="00533AC0">
                            <w:pPr>
                              <w:pStyle w:val="Subtitle"/>
                            </w:pPr>
                            <w:r>
                              <w:t>Tutorial 18</w:t>
                            </w:r>
                            <w:r w:rsidR="008E1B0E">
                              <w:t xml:space="preserve"> – </w:t>
                            </w:r>
                            <w:r>
                              <w:t xml:space="preserve">XML </w:t>
                            </w:r>
                            <w:proofErr w:type="spellStart"/>
                            <w:r>
                              <w:t>Databinding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EB7FF8" w:rsidP="00533AC0">
                      <w:pPr>
                        <w:pStyle w:val="Subtitle"/>
                      </w:pPr>
                      <w:r>
                        <w:t>Tutorial 18</w:t>
                      </w:r>
                      <w:r w:rsidR="008E1B0E">
                        <w:t xml:space="preserve"> – </w:t>
                      </w:r>
                      <w:r>
                        <w:t xml:space="preserve">XML </w:t>
                      </w:r>
                      <w:proofErr w:type="spellStart"/>
                      <w:r>
                        <w:t>Databinding</w:t>
                      </w:r>
                      <w:proofErr w:type="spellEnd"/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 o</w:t>
      </w:r>
      <w:r w:rsidR="00EB7FF8">
        <w:t xml:space="preserve">f this exercise is to build an application with XML views and to use </w:t>
      </w:r>
      <w:proofErr w:type="gramStart"/>
      <w:r w:rsidR="00EB7FF8">
        <w:t>a</w:t>
      </w:r>
      <w:proofErr w:type="gramEnd"/>
      <w:r w:rsidR="00EB7FF8">
        <w:t xml:space="preserve"> </w:t>
      </w:r>
      <w:proofErr w:type="spellStart"/>
      <w:r w:rsidR="00EB7FF8">
        <w:t>OData</w:t>
      </w:r>
      <w:proofErr w:type="spellEnd"/>
      <w:r w:rsidR="00EB7FF8">
        <w:t xml:space="preserve"> model in a </w:t>
      </w:r>
      <w:proofErr w:type="spellStart"/>
      <w:r w:rsidR="00EB7FF8">
        <w:t>Mockserver</w:t>
      </w:r>
      <w:proofErr w:type="spellEnd"/>
      <w:r w:rsidR="00EB7FF8">
        <w:t>.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533AC0" w:rsidP="00C707CB">
      <w:pPr>
        <w:pStyle w:val="ListParagraph"/>
        <w:numPr>
          <w:ilvl w:val="0"/>
          <w:numId w:val="12"/>
        </w:numPr>
        <w:spacing w:after="200"/>
      </w:pPr>
      <w:r>
        <w:t xml:space="preserve">Eclipse </w:t>
      </w:r>
      <w:r w:rsidR="00EB7FF8">
        <w:t>Luna</w:t>
      </w:r>
      <w:r>
        <w:t xml:space="preserve"> would be needed for this Tutorial.</w:t>
      </w:r>
    </w:p>
    <w:p w:rsidR="006900EE" w:rsidRDefault="006900EE" w:rsidP="00C707CB">
      <w:pPr>
        <w:pStyle w:val="ListParagraph"/>
        <w:numPr>
          <w:ilvl w:val="0"/>
          <w:numId w:val="12"/>
        </w:numPr>
        <w:spacing w:after="200"/>
      </w:pPr>
      <w:r>
        <w:t>Use the code SAPUI5_XMLfull for this tutorial.</w:t>
      </w:r>
      <w:bookmarkStart w:id="0" w:name="_GoBack"/>
      <w:bookmarkEnd w:id="0"/>
    </w:p>
    <w:p w:rsidR="00533AC0" w:rsidRDefault="0096616F" w:rsidP="0096616F">
      <w:pPr>
        <w:pStyle w:val="Heading1"/>
      </w:pPr>
      <w:r>
        <w:t xml:space="preserve">Task 1: </w:t>
      </w:r>
      <w:r w:rsidR="00EB7FF8">
        <w:t>Add Mock Data</w:t>
      </w:r>
    </w:p>
    <w:p w:rsidR="00747F25" w:rsidRDefault="00747F25" w:rsidP="00747F25">
      <w:r>
        <w:t xml:space="preserve">Copy the folder named “model” from your course package into the </w:t>
      </w:r>
      <w:proofErr w:type="spellStart"/>
      <w:r>
        <w:t>WebContent</w:t>
      </w:r>
      <w:proofErr w:type="spellEnd"/>
      <w:r>
        <w:t>/sapui5_xml directory of your workspace.</w:t>
      </w:r>
    </w:p>
    <w:p w:rsidR="00747F25" w:rsidRDefault="00747F25" w:rsidP="00747F25">
      <w:r>
        <w:rPr>
          <w:noProof/>
        </w:rPr>
        <w:drawing>
          <wp:inline distT="0" distB="0" distL="0" distR="0" wp14:anchorId="3D0F70ED" wp14:editId="10EC5B87">
            <wp:extent cx="2047875" cy="2066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53" w:rsidRDefault="00EF6453" w:rsidP="00EF6453">
      <w:pPr>
        <w:pStyle w:val="Heading1"/>
      </w:pPr>
      <w:r>
        <w:t xml:space="preserve">Task 2: Create </w:t>
      </w:r>
      <w:proofErr w:type="spellStart"/>
      <w:r>
        <w:t>MockServer</w:t>
      </w:r>
      <w:proofErr w:type="spellEnd"/>
    </w:p>
    <w:p w:rsidR="00EF6453" w:rsidRDefault="00EF6453" w:rsidP="00EF6453">
      <w:r>
        <w:t xml:space="preserve">The data we are using are exactly the same as in </w:t>
      </w:r>
      <w:proofErr w:type="spellStart"/>
      <w:r>
        <w:t>javascript</w:t>
      </w:r>
      <w:proofErr w:type="spellEnd"/>
      <w:r>
        <w:t xml:space="preserve">, thus copy the </w:t>
      </w:r>
      <w:proofErr w:type="spellStart"/>
      <w:r>
        <w:t>Mockserver</w:t>
      </w:r>
      <w:proofErr w:type="spellEnd"/>
      <w:r>
        <w:t xml:space="preserve"> we created in tutorial 12 into the </w:t>
      </w:r>
      <w:proofErr w:type="spellStart"/>
      <w:r>
        <w:t>onInit</w:t>
      </w:r>
      <w:proofErr w:type="spellEnd"/>
      <w:r>
        <w:t xml:space="preserve"> function of the </w:t>
      </w:r>
      <w:proofErr w:type="spellStart"/>
      <w:r>
        <w:t>main.controller</w:t>
      </w:r>
      <w:proofErr w:type="spellEnd"/>
      <w:r>
        <w:t xml:space="preserve"> file. The data will thus be loaded when the application is loaded.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mock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mock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Uri 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mymockserver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sap.ui.core.util.MockServer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rootUri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Uri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metadataUrl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"sapui5_xml/model/metadata.xml"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mockdatabase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"sapui5_xml/model/"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oMock.simulate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metadataUrl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sMockdataBaseUrl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mockdatabase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bGenerateMissingMockData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oMock.start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  <w:proofErr w:type="gramEnd"/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Uri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"proxy/http/services.odata.org/V2/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Northwind.svc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sap.ui.model.odata.v2.ODataModel(Uri, {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json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});</w:t>
      </w:r>
    </w:p>
    <w:p w:rsidR="00EF6453" w:rsidRDefault="00EF6453" w:rsidP="00EF64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EF6453" w:rsidRDefault="00EF6453" w:rsidP="00EF6453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EF6453" w:rsidRDefault="009E5EF6" w:rsidP="009E5EF6">
      <w:pPr>
        <w:pStyle w:val="Heading1"/>
      </w:pPr>
      <w:r>
        <w:t>Task 3: Create a List</w:t>
      </w:r>
    </w:p>
    <w:p w:rsidR="009E5EF6" w:rsidRDefault="009E5EF6" w:rsidP="009E5EF6">
      <w:r>
        <w:t>Create a list with id=”</w:t>
      </w:r>
      <w:proofErr w:type="spellStart"/>
      <w:r>
        <w:t>listC</w:t>
      </w:r>
      <w:proofErr w:type="spellEnd"/>
      <w:r>
        <w:t>”</w:t>
      </w:r>
    </w:p>
    <w:p w:rsidR="009E5EF6" w:rsidRDefault="009E5EF6" w:rsidP="009E5EF6">
      <w:r>
        <w:t>The items of a list can be bound to the data by setting the items path as an attribute to the list.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List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listC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items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"{data1&gt;/Categories}"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items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items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9E5EF6" w:rsidRDefault="009E5EF6" w:rsidP="009E5EF6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List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r>
        <w:t xml:space="preserve">The contents of this list will now be bound to the Categories table of the data1 </w:t>
      </w:r>
      <w:proofErr w:type="spellStart"/>
      <w:r>
        <w:t>datamodel</w:t>
      </w:r>
      <w:proofErr w:type="spellEnd"/>
      <w:r>
        <w:t>.</w:t>
      </w:r>
    </w:p>
    <w:p w:rsidR="009E5EF6" w:rsidRDefault="009E5EF6" w:rsidP="009E5EF6">
      <w:r>
        <w:t>Now add a List item.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List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listC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items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"{data1&gt;/Categories}"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items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DisplayListItem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CategoryName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items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9E5EF6" w:rsidRDefault="009E5EF6" w:rsidP="009E5EF6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List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r>
        <w:t xml:space="preserve">Save </w:t>
      </w:r>
      <w:proofErr w:type="gramStart"/>
      <w:r>
        <w:t>an</w:t>
      </w:r>
      <w:proofErr w:type="gramEnd"/>
      <w:r>
        <w:t xml:space="preserve"> run you application.</w:t>
      </w:r>
    </w:p>
    <w:p w:rsidR="009E5EF6" w:rsidRDefault="009E5EF6" w:rsidP="009E5EF6">
      <w:r>
        <w:rPr>
          <w:noProof/>
        </w:rPr>
        <w:lastRenderedPageBreak/>
        <w:drawing>
          <wp:inline distT="0" distB="0" distL="0" distR="0" wp14:anchorId="37A1A31B" wp14:editId="132216FF">
            <wp:extent cx="5943600" cy="3643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4F6" w:rsidRDefault="001974F6" w:rsidP="001974F6">
      <w:pPr>
        <w:pStyle w:val="Heading1"/>
      </w:pPr>
      <w:r>
        <w:t>Note</w:t>
      </w:r>
    </w:p>
    <w:p w:rsidR="001974F6" w:rsidRPr="001974F6" w:rsidRDefault="001974F6" w:rsidP="001974F6">
      <w:r>
        <w:t xml:space="preserve">All the functions in the handlers work exactly the same as with </w:t>
      </w:r>
      <w:proofErr w:type="spellStart"/>
      <w:r>
        <w:t>javascript</w:t>
      </w:r>
      <w:proofErr w:type="spellEnd"/>
      <w:r>
        <w:t>, no function can be handled in the views, all events has to point to an event handler or controller. The xml page is for visible components only.</w:t>
      </w:r>
    </w:p>
    <w:p w:rsidR="009E5EF6" w:rsidRDefault="009E5EF6" w:rsidP="009E5EF6">
      <w:pPr>
        <w:pStyle w:val="Heading2"/>
      </w:pPr>
      <w:r>
        <w:t>Categories.view.xml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core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:View</w:t>
      </w:r>
      <w:proofErr w:type="spellEnd"/>
      <w:proofErr w:type="gramEnd"/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xmlns:core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sap.ui.core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sap.ui.core.mvc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sap.m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controllerName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"sapui5_xml.Categories"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xmlns:html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"Categories"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press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gotoProducts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List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listC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items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"{data1&gt;/Categories}"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items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</w:rPr>
        <w:t>DisplayListItem</w:t>
      </w:r>
      <w:proofErr w:type="spellEnd"/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CategoryName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value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items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List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content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core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:View</w:t>
      </w:r>
      <w:proofErr w:type="spellEnd"/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E5EF6" w:rsidRDefault="009E5EF6" w:rsidP="009E5EF6">
      <w:pPr>
        <w:pStyle w:val="Heading2"/>
      </w:pPr>
      <w:r>
        <w:lastRenderedPageBreak/>
        <w:t>Main.controller.js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sap.ui.controller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"sapui5_xml.main"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onInit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9E5EF6" w:rsidRDefault="009E5EF6" w:rsidP="009E5EF6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mock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mock ==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){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Uri =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mymockserver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sap.ui.core.util.MockServer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rootUri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Uri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metadataUrl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"sapui5_xml/model/metadata.xml"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mockdatabase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"sapui5_xml/model/"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oMock.simulate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metadataUrl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sMockdataBaseUrl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mockdatabase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proofErr w:type="gramStart"/>
      <w:r>
        <w:rPr>
          <w:rFonts w:ascii="Consolas" w:eastAsiaTheme="minorHAnsi" w:hAnsi="Consolas" w:cs="Consolas"/>
          <w:color w:val="2A00FF"/>
          <w:sz w:val="20"/>
          <w:szCs w:val="20"/>
        </w:rPr>
        <w:t>bGenerateMissingMockData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false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oMock.start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  <w:proofErr w:type="gramEnd"/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Uri =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"proxy/http/services.odata.org/V2/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Northwind.svc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/"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sap.ui.model.odata.v2.ODataModel(Uri, {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json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9E5EF6" w:rsidRDefault="009E5EF6" w:rsidP="009E5EF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9E5EF6" w:rsidRPr="009E5EF6" w:rsidRDefault="009E5EF6" w:rsidP="009E5EF6"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sectPr w:rsidR="009E5EF6" w:rsidRPr="009E5EF6" w:rsidSect="00D72033">
      <w:headerReference w:type="default" r:id="rId10"/>
      <w:footerReference w:type="even" r:id="rId11"/>
      <w:footerReference w:type="default" r:id="rId12"/>
      <w:headerReference w:type="first" r:id="rId13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B57" w:rsidRDefault="008A5B57">
      <w:r>
        <w:separator/>
      </w:r>
    </w:p>
  </w:endnote>
  <w:endnote w:type="continuationSeparator" w:id="0">
    <w:p w:rsidR="008A5B57" w:rsidRDefault="008A5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371D6DB" wp14:editId="314C4EA6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900EE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2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6900EE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2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B57" w:rsidRDefault="008A5B57">
      <w:r>
        <w:separator/>
      </w:r>
    </w:p>
  </w:footnote>
  <w:footnote w:type="continuationSeparator" w:id="0">
    <w:p w:rsidR="008A5B57" w:rsidRDefault="008A5B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5ADC9A61" wp14:editId="5C1B6197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900EE">
                            <w:rPr>
                              <w:noProof/>
                              <w:sz w:val="16"/>
                              <w:szCs w:val="16"/>
                            </w:rPr>
                            <w:t>17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6900EE">
                      <w:rPr>
                        <w:noProof/>
                        <w:sz w:val="16"/>
                        <w:szCs w:val="16"/>
                      </w:rPr>
                      <w:t>17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217BBC58" wp14:editId="22F531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7720DE5" wp14:editId="4D8BF0FE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0CA92235" wp14:editId="4F920E3D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A1920"/>
    <w:rsid w:val="000B7FE4"/>
    <w:rsid w:val="000C0B75"/>
    <w:rsid w:val="000C1703"/>
    <w:rsid w:val="000D47A5"/>
    <w:rsid w:val="000E6E9E"/>
    <w:rsid w:val="0018356F"/>
    <w:rsid w:val="001974F6"/>
    <w:rsid w:val="001A2824"/>
    <w:rsid w:val="001A4E37"/>
    <w:rsid w:val="001C13E9"/>
    <w:rsid w:val="001C5D1B"/>
    <w:rsid w:val="001E2148"/>
    <w:rsid w:val="002300EB"/>
    <w:rsid w:val="0023148A"/>
    <w:rsid w:val="002A6AFC"/>
    <w:rsid w:val="002F7A8C"/>
    <w:rsid w:val="003061E5"/>
    <w:rsid w:val="00336731"/>
    <w:rsid w:val="00343ED2"/>
    <w:rsid w:val="00346D57"/>
    <w:rsid w:val="00360B31"/>
    <w:rsid w:val="00365E35"/>
    <w:rsid w:val="003777D5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21AE2"/>
    <w:rsid w:val="00434B07"/>
    <w:rsid w:val="0045551D"/>
    <w:rsid w:val="00455C6D"/>
    <w:rsid w:val="00475491"/>
    <w:rsid w:val="00483712"/>
    <w:rsid w:val="004E78CB"/>
    <w:rsid w:val="004F53C7"/>
    <w:rsid w:val="005034CB"/>
    <w:rsid w:val="00520180"/>
    <w:rsid w:val="00526FC0"/>
    <w:rsid w:val="00533AC0"/>
    <w:rsid w:val="00581949"/>
    <w:rsid w:val="0058238B"/>
    <w:rsid w:val="005831CB"/>
    <w:rsid w:val="0058358B"/>
    <w:rsid w:val="00583C9E"/>
    <w:rsid w:val="00597319"/>
    <w:rsid w:val="005B47AF"/>
    <w:rsid w:val="005C48E0"/>
    <w:rsid w:val="005E6083"/>
    <w:rsid w:val="005F5355"/>
    <w:rsid w:val="00622069"/>
    <w:rsid w:val="00637BD8"/>
    <w:rsid w:val="00644223"/>
    <w:rsid w:val="0065577E"/>
    <w:rsid w:val="0067597B"/>
    <w:rsid w:val="006900EE"/>
    <w:rsid w:val="006B2F89"/>
    <w:rsid w:val="006D109D"/>
    <w:rsid w:val="00700FC2"/>
    <w:rsid w:val="00702E52"/>
    <w:rsid w:val="00740265"/>
    <w:rsid w:val="00747F25"/>
    <w:rsid w:val="00752E20"/>
    <w:rsid w:val="00753158"/>
    <w:rsid w:val="0076465F"/>
    <w:rsid w:val="007770B4"/>
    <w:rsid w:val="0078498F"/>
    <w:rsid w:val="00786C1B"/>
    <w:rsid w:val="0079264A"/>
    <w:rsid w:val="00792834"/>
    <w:rsid w:val="00793F25"/>
    <w:rsid w:val="00871452"/>
    <w:rsid w:val="0087777A"/>
    <w:rsid w:val="00887F57"/>
    <w:rsid w:val="0089565F"/>
    <w:rsid w:val="00895A04"/>
    <w:rsid w:val="008A549B"/>
    <w:rsid w:val="008A5B57"/>
    <w:rsid w:val="008C0110"/>
    <w:rsid w:val="008E1B0E"/>
    <w:rsid w:val="008F5399"/>
    <w:rsid w:val="00901DFC"/>
    <w:rsid w:val="0096616F"/>
    <w:rsid w:val="00974A64"/>
    <w:rsid w:val="00981620"/>
    <w:rsid w:val="00996418"/>
    <w:rsid w:val="009B599B"/>
    <w:rsid w:val="009E0D00"/>
    <w:rsid w:val="009E234D"/>
    <w:rsid w:val="009E5EF6"/>
    <w:rsid w:val="009E7886"/>
    <w:rsid w:val="00A0699F"/>
    <w:rsid w:val="00A12968"/>
    <w:rsid w:val="00A15A80"/>
    <w:rsid w:val="00A463D6"/>
    <w:rsid w:val="00A62C62"/>
    <w:rsid w:val="00A93B47"/>
    <w:rsid w:val="00A961EC"/>
    <w:rsid w:val="00AC1843"/>
    <w:rsid w:val="00AD6EAC"/>
    <w:rsid w:val="00B702FC"/>
    <w:rsid w:val="00B75358"/>
    <w:rsid w:val="00B75C8B"/>
    <w:rsid w:val="00B8497D"/>
    <w:rsid w:val="00B86AA4"/>
    <w:rsid w:val="00BD6BC1"/>
    <w:rsid w:val="00BD6CFE"/>
    <w:rsid w:val="00BF7A9B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CD4226"/>
    <w:rsid w:val="00CF7EBE"/>
    <w:rsid w:val="00D125F5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44B8"/>
    <w:rsid w:val="00DB1016"/>
    <w:rsid w:val="00DC0754"/>
    <w:rsid w:val="00DC639A"/>
    <w:rsid w:val="00DF4DA4"/>
    <w:rsid w:val="00E171FC"/>
    <w:rsid w:val="00E22ED7"/>
    <w:rsid w:val="00E52A1D"/>
    <w:rsid w:val="00E54B93"/>
    <w:rsid w:val="00E71F1C"/>
    <w:rsid w:val="00E778CC"/>
    <w:rsid w:val="00E91D62"/>
    <w:rsid w:val="00E9359D"/>
    <w:rsid w:val="00EB7FF8"/>
    <w:rsid w:val="00EC5FCB"/>
    <w:rsid w:val="00EF6453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59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3298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5</cp:revision>
  <cp:lastPrinted>2013-11-01T06:31:00Z</cp:lastPrinted>
  <dcterms:created xsi:type="dcterms:W3CDTF">2015-07-17T11:13:00Z</dcterms:created>
  <dcterms:modified xsi:type="dcterms:W3CDTF">2015-07-17T12:31:00Z</dcterms:modified>
</cp:coreProperties>
</file>