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FB" w:rsidRPr="00C42BFB" w:rsidRDefault="00C42BFB" w:rsidP="00C42BFB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C42BFB">
        <w:rPr>
          <w:b/>
          <w:sz w:val="32"/>
          <w:szCs w:val="32"/>
          <w:lang w:val="en-US"/>
        </w:rPr>
        <w:t>GE 312 Weekly Schedule</w:t>
      </w:r>
      <w:r w:rsidR="001F163F">
        <w:rPr>
          <w:b/>
          <w:sz w:val="32"/>
          <w:szCs w:val="32"/>
          <w:lang w:val="en-US"/>
        </w:rPr>
        <w:t xml:space="preserve"> 2018-19</w:t>
      </w:r>
    </w:p>
    <w:p w:rsidR="00C42BFB" w:rsidRPr="00C42BFB" w:rsidRDefault="00C42BFB" w:rsidP="00C42BFB">
      <w:pPr>
        <w:rPr>
          <w:b/>
          <w:lang w:val="en-US"/>
        </w:rPr>
      </w:pPr>
      <w:r w:rsidRPr="00C42BFB">
        <w:rPr>
          <w:b/>
          <w:lang w:val="en-US"/>
        </w:rPr>
        <w:t>Term 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629"/>
      </w:tblGrid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1</w:t>
            </w:r>
          </w:p>
        </w:tc>
        <w:tc>
          <w:tcPr>
            <w:tcW w:w="4226" w:type="pct"/>
            <w:hideMark/>
          </w:tcPr>
          <w:p w:rsidR="00C42BFB" w:rsidRDefault="00C42BFB" w:rsidP="00C42BFB"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  <w:p w:rsidR="00C42BFB" w:rsidRPr="00C42BFB" w:rsidRDefault="00C42BFB" w:rsidP="00C42BFB">
            <w:r w:rsidRPr="00C42BFB">
              <w:rPr>
                <w:b/>
                <w:bCs/>
              </w:rPr>
              <w:t xml:space="preserve">Imperial Germany: The historical, political and economic context. 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2</w:t>
            </w:r>
          </w:p>
        </w:tc>
        <w:tc>
          <w:tcPr>
            <w:tcW w:w="4226" w:type="pct"/>
            <w:vAlign w:val="center"/>
            <w:hideMark/>
          </w:tcPr>
          <w:p w:rsidR="00C42BFB" w:rsidRPr="00C42BFB" w:rsidRDefault="00C42BFB" w:rsidP="00C42BFB">
            <w:r w:rsidRPr="00C42BFB">
              <w:rPr>
                <w:b/>
                <w:bCs/>
              </w:rPr>
              <w:t>Critiques of Wilhelmine Germany (1</w:t>
            </w:r>
            <w:r w:rsidRPr="00C42BFB">
              <w:t>)</w:t>
            </w:r>
            <w:r w:rsidRPr="00C42BFB">
              <w:rPr>
                <w:b/>
                <w:bCs/>
              </w:rPr>
              <w:t xml:space="preserve">: Theodor Fontane, </w:t>
            </w:r>
            <w:r w:rsidRPr="00C42BFB">
              <w:rPr>
                <w:b/>
                <w:bCs/>
                <w:i/>
                <w:iCs/>
              </w:rPr>
              <w:t>Effi Briest</w:t>
            </w:r>
            <w:r w:rsidRPr="00C42BFB">
              <w:t xml:space="preserve"> 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3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r w:rsidRPr="00C42BFB">
              <w:rPr>
                <w:b/>
                <w:bCs/>
              </w:rPr>
              <w:t xml:space="preserve">Critiques of Wilhelmine Germany (2): Theodor Fontane, </w:t>
            </w:r>
            <w:r w:rsidRPr="00C42BFB">
              <w:rPr>
                <w:b/>
                <w:bCs/>
                <w:i/>
                <w:iCs/>
              </w:rPr>
              <w:t>Effi Briest.</w:t>
            </w:r>
            <w:r w:rsidRPr="00C42BFB">
              <w:t xml:space="preserve"> 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4</w:t>
            </w:r>
          </w:p>
        </w:tc>
        <w:tc>
          <w:tcPr>
            <w:tcW w:w="4226" w:type="pct"/>
            <w:hideMark/>
          </w:tcPr>
          <w:p w:rsidR="00C42BFB" w:rsidRPr="00C42BFB" w:rsidRDefault="008E3351" w:rsidP="00C42BFB">
            <w:r>
              <w:t>No class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5</w:t>
            </w:r>
          </w:p>
        </w:tc>
        <w:tc>
          <w:tcPr>
            <w:tcW w:w="4226" w:type="pct"/>
            <w:hideMark/>
          </w:tcPr>
          <w:p w:rsidR="008E3351" w:rsidRDefault="008E3351" w:rsidP="008E3351">
            <w:r w:rsidRPr="00C42BFB">
              <w:rPr>
                <w:b/>
                <w:bCs/>
              </w:rPr>
              <w:t>Biology and Genetics. The Naturalist Movement in Art and Literature</w:t>
            </w:r>
            <w:r w:rsidRPr="00C42BFB">
              <w:t xml:space="preserve"> </w:t>
            </w:r>
          </w:p>
          <w:p w:rsidR="00C42BFB" w:rsidRPr="008E3351" w:rsidRDefault="008E3351" w:rsidP="008E3351">
            <w:pPr>
              <w:rPr>
                <w:b/>
                <w:bCs/>
              </w:rPr>
            </w:pPr>
            <w:r>
              <w:t>Excerpt: Papa Hamlet</w:t>
            </w:r>
            <w:r w:rsidRPr="00C42BFB">
              <w:rPr>
                <w:b/>
                <w:bCs/>
              </w:rPr>
              <w:t xml:space="preserve"> 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6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r w:rsidRPr="00C42BFB">
              <w:t>Reading week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7</w:t>
            </w:r>
          </w:p>
        </w:tc>
        <w:tc>
          <w:tcPr>
            <w:tcW w:w="4226" w:type="pct"/>
            <w:hideMark/>
          </w:tcPr>
          <w:p w:rsidR="00C42BFB" w:rsidRPr="00C42BFB" w:rsidRDefault="008E3351" w:rsidP="00C42BFB">
            <w:r w:rsidRPr="00C42BFB">
              <w:rPr>
                <w:b/>
                <w:bCs/>
              </w:rPr>
              <w:t>Critiques of Wilhelmine Germany (3): Human Agency and Determinism</w:t>
            </w:r>
            <w:r w:rsidRPr="00C42BFB">
              <w:br/>
              <w:t xml:space="preserve">Henrik Ibsen </w:t>
            </w:r>
            <w:r w:rsidRPr="00C42BFB">
              <w:rPr>
                <w:i/>
                <w:iCs/>
              </w:rPr>
              <w:t xml:space="preserve">Ghosts </w:t>
            </w:r>
            <w:r w:rsidRPr="00C42BFB">
              <w:t xml:space="preserve">and Gerhart Hauptmann </w:t>
            </w:r>
            <w:r w:rsidRPr="00C42BFB">
              <w:rPr>
                <w:i/>
                <w:iCs/>
              </w:rPr>
              <w:t>Vor Sonnenaufgang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8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r w:rsidRPr="00C42BFB">
              <w:rPr>
                <w:b/>
                <w:bCs/>
              </w:rPr>
              <w:t>Critiques of Wilhelmine Germany (4): Bourgeois Morality and the Quest for Female Emancipation.</w:t>
            </w:r>
            <w:r w:rsidRPr="00C42BFB">
              <w:t xml:space="preserve"> </w:t>
            </w:r>
          </w:p>
          <w:p w:rsidR="00C42BFB" w:rsidRPr="00C42BFB" w:rsidRDefault="00C42BFB" w:rsidP="00C42BFB">
            <w:pPr>
              <w:rPr>
                <w:lang w:val="de-DE"/>
              </w:rPr>
            </w:pPr>
            <w:r w:rsidRPr="00C42BFB">
              <w:rPr>
                <w:lang w:val="de-DE"/>
              </w:rPr>
              <w:t xml:space="preserve">Henrik Ibsen </w:t>
            </w:r>
            <w:r w:rsidRPr="00C42BFB">
              <w:rPr>
                <w:i/>
                <w:iCs/>
                <w:lang w:val="de-DE"/>
              </w:rPr>
              <w:t>A Doll’s House</w:t>
            </w:r>
            <w:r w:rsidRPr="00C42BFB">
              <w:rPr>
                <w:lang w:val="de-DE"/>
              </w:rPr>
              <w:t xml:space="preserve"> and Gerhart Hauptmann </w:t>
            </w:r>
            <w:r w:rsidRPr="00C42BFB">
              <w:rPr>
                <w:i/>
                <w:iCs/>
                <w:lang w:val="de-DE"/>
              </w:rPr>
              <w:t>Einsame Menschen</w:t>
            </w:r>
            <w:r w:rsidRPr="00C42BFB">
              <w:rPr>
                <w:lang w:val="de-DE"/>
              </w:rPr>
              <w:t xml:space="preserve"> 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9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r w:rsidRPr="00C42BFB">
              <w:rPr>
                <w:b/>
                <w:bCs/>
              </w:rPr>
              <w:t>Gender, Ethics and Adolescent Sexuality in Wilhelmine Germany. New Modes of Drama.</w:t>
            </w:r>
            <w:r w:rsidRPr="00C42BFB">
              <w:t xml:space="preserve"> </w:t>
            </w:r>
          </w:p>
          <w:p w:rsidR="00C42BFB" w:rsidRPr="00C42BFB" w:rsidRDefault="00C42BFB" w:rsidP="00C42BFB">
            <w:r w:rsidRPr="00C42BFB">
              <w:rPr>
                <w:bCs/>
              </w:rPr>
              <w:t>Frank Wedekind</w:t>
            </w:r>
            <w:r w:rsidRPr="00C42BFB">
              <w:rPr>
                <w:b/>
                <w:bCs/>
              </w:rPr>
              <w:t xml:space="preserve"> </w:t>
            </w:r>
            <w:r w:rsidRPr="00C42BFB">
              <w:rPr>
                <w:i/>
                <w:iCs/>
              </w:rPr>
              <w:t>Frühlings Erwachen</w:t>
            </w:r>
            <w:r w:rsidRPr="00C42BFB">
              <w:t xml:space="preserve"> 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10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pPr>
              <w:rPr>
                <w:lang w:val="de-DE"/>
              </w:rPr>
            </w:pPr>
            <w:r w:rsidRPr="00C42BFB">
              <w:rPr>
                <w:b/>
                <w:bCs/>
                <w:lang w:val="de-DE"/>
              </w:rPr>
              <w:t>Class, gender and power in fin-de-siècle Vienna</w:t>
            </w:r>
            <w:r w:rsidRPr="00C42BFB">
              <w:rPr>
                <w:lang w:val="de-DE"/>
              </w:rPr>
              <w:br/>
              <w:t xml:space="preserve">Arthur Schnitzler </w:t>
            </w:r>
            <w:r w:rsidRPr="00C42BFB">
              <w:rPr>
                <w:i/>
                <w:iCs/>
                <w:lang w:val="de-DE"/>
              </w:rPr>
              <w:t>Liebelei</w:t>
            </w:r>
            <w:r w:rsidRPr="00C42BFB">
              <w:rPr>
                <w:lang w:val="de-DE"/>
              </w:rPr>
              <w:br/>
              <w:t xml:space="preserve">Arthur Schnitzler </w:t>
            </w:r>
            <w:r w:rsidRPr="00C42BFB">
              <w:rPr>
                <w:i/>
                <w:iCs/>
                <w:lang w:val="de-DE"/>
              </w:rPr>
              <w:t>Reigen</w:t>
            </w:r>
            <w:r w:rsidRPr="00C42BFB">
              <w:rPr>
                <w:lang w:val="de-DE"/>
              </w:rPr>
              <w:t xml:space="preserve"> </w:t>
            </w:r>
          </w:p>
        </w:tc>
      </w:tr>
      <w:tr w:rsidR="00C42BFB" w:rsidRPr="00C42BFB" w:rsidTr="00B70006">
        <w:tc>
          <w:tcPr>
            <w:tcW w:w="774" w:type="pct"/>
          </w:tcPr>
          <w:p w:rsidR="00C42BFB" w:rsidRPr="00C42BFB" w:rsidRDefault="00C42BFB" w:rsidP="00C42BFB"/>
        </w:tc>
        <w:tc>
          <w:tcPr>
            <w:tcW w:w="4226" w:type="pct"/>
          </w:tcPr>
          <w:p w:rsidR="00C42BFB" w:rsidRPr="00C42BFB" w:rsidRDefault="00C42BFB" w:rsidP="00C42BFB">
            <w:pPr>
              <w:rPr>
                <w:b/>
                <w:bCs/>
                <w:lang w:val="de-DE"/>
              </w:rPr>
            </w:pPr>
          </w:p>
        </w:tc>
      </w:tr>
      <w:tr w:rsidR="00C42BFB" w:rsidRPr="00C42BFB" w:rsidTr="00B70006">
        <w:tc>
          <w:tcPr>
            <w:tcW w:w="774" w:type="pct"/>
          </w:tcPr>
          <w:p w:rsidR="00C42BFB" w:rsidRPr="00C42BFB" w:rsidRDefault="00C42BFB" w:rsidP="00C42BFB">
            <w:r w:rsidRPr="00C42BFB">
              <w:rPr>
                <w:b/>
              </w:rPr>
              <w:t>Term Two</w:t>
            </w:r>
            <w:r w:rsidRPr="00C42BFB">
              <w:t xml:space="preserve"> </w:t>
            </w:r>
          </w:p>
        </w:tc>
        <w:tc>
          <w:tcPr>
            <w:tcW w:w="4226" w:type="pct"/>
          </w:tcPr>
          <w:p w:rsidR="00C42BFB" w:rsidRPr="00C42BFB" w:rsidRDefault="00C42BFB" w:rsidP="00C42BFB"/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 xml:space="preserve">Week 1 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r w:rsidRPr="00C42BFB">
              <w:rPr>
                <w:b/>
              </w:rPr>
              <w:t xml:space="preserve">Freud – Schnitzler and the representation of Gender and Identity in </w:t>
            </w:r>
            <w:r w:rsidRPr="00C42BFB">
              <w:rPr>
                <w:b/>
                <w:i/>
              </w:rPr>
              <w:t>Fräulein Else</w:t>
            </w:r>
          </w:p>
          <w:p w:rsidR="00C42BFB" w:rsidRPr="00C42BFB" w:rsidRDefault="00C42BFB" w:rsidP="00C42BFB">
            <w:r w:rsidRPr="00C42BFB">
              <w:t xml:space="preserve">Arthur Schnitzler </w:t>
            </w:r>
            <w:r w:rsidRPr="00C42BFB">
              <w:rPr>
                <w:i/>
              </w:rPr>
              <w:t>Fräulein Else</w:t>
            </w:r>
            <w:r w:rsidRPr="00C42BFB">
              <w:t xml:space="preserve"> 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2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pPr>
              <w:rPr>
                <w:i/>
              </w:rPr>
            </w:pPr>
            <w:r w:rsidRPr="00C42BFB">
              <w:rPr>
                <w:b/>
              </w:rPr>
              <w:t xml:space="preserve">Cultural Geography in Thomas Mann’s </w:t>
            </w:r>
            <w:r w:rsidRPr="00C42BFB">
              <w:rPr>
                <w:i/>
              </w:rPr>
              <w:t>Der Tod in Venedig</w:t>
            </w:r>
          </w:p>
          <w:p w:rsidR="00C42BFB" w:rsidRPr="00C42BFB" w:rsidRDefault="00C42BFB" w:rsidP="00C42BFB">
            <w:pPr>
              <w:rPr>
                <w:lang w:val="de-DE"/>
              </w:rPr>
            </w:pPr>
            <w:r w:rsidRPr="00C42BFB">
              <w:rPr>
                <w:lang w:val="de-DE"/>
              </w:rPr>
              <w:t xml:space="preserve">Thomas Mann </w:t>
            </w:r>
            <w:r w:rsidRPr="00C42BFB">
              <w:rPr>
                <w:i/>
                <w:lang w:val="de-DE"/>
              </w:rPr>
              <w:t>Der Tod in Venedig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3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r w:rsidRPr="00C42BFB">
              <w:rPr>
                <w:b/>
              </w:rPr>
              <w:t>The Function of Art in Thomas Mann’s</w:t>
            </w:r>
            <w:r w:rsidRPr="00C42BFB">
              <w:t xml:space="preserve"> </w:t>
            </w:r>
            <w:r w:rsidRPr="00C42BFB">
              <w:rPr>
                <w:i/>
              </w:rPr>
              <w:t>Der Tod in Venedig</w:t>
            </w:r>
            <w:r w:rsidRPr="00C42BFB">
              <w:br/>
              <w:t xml:space="preserve">Thomas Mann </w:t>
            </w:r>
            <w:r w:rsidRPr="00C42BFB">
              <w:rPr>
                <w:i/>
              </w:rPr>
              <w:t>Der Tod in Venedig</w:t>
            </w:r>
            <w:r w:rsidRPr="00C42BFB">
              <w:t xml:space="preserve"> 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4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r w:rsidRPr="00C42BFB">
              <w:rPr>
                <w:b/>
              </w:rPr>
              <w:t xml:space="preserve">The Rejection of Tradition and the Subversive Self in Robert Walser’s </w:t>
            </w:r>
            <w:r w:rsidRPr="00C42BFB">
              <w:rPr>
                <w:i/>
              </w:rPr>
              <w:t>Jakob von Gunten</w:t>
            </w:r>
          </w:p>
          <w:p w:rsidR="00C42BFB" w:rsidRPr="00C42BFB" w:rsidRDefault="00C42BFB" w:rsidP="00C42BFB">
            <w:pPr>
              <w:rPr>
                <w:lang w:val="de-DE"/>
              </w:rPr>
            </w:pPr>
            <w:r w:rsidRPr="00C42BFB">
              <w:rPr>
                <w:lang w:val="de-DE"/>
              </w:rPr>
              <w:t xml:space="preserve">Robert Walser </w:t>
            </w:r>
            <w:r w:rsidRPr="00C42BFB">
              <w:rPr>
                <w:i/>
                <w:lang w:val="de-DE"/>
              </w:rPr>
              <w:t>Jakob von Gunten</w:t>
            </w:r>
            <w:r w:rsidRPr="00C42BFB">
              <w:rPr>
                <w:lang w:val="de-DE"/>
              </w:rPr>
              <w:t xml:space="preserve"> 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lastRenderedPageBreak/>
              <w:t>Week 5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pPr>
              <w:rPr>
                <w:lang w:val="de-DE"/>
              </w:rPr>
            </w:pPr>
            <w:r w:rsidRPr="00C42BFB">
              <w:rPr>
                <w:b/>
                <w:lang w:val="de-DE"/>
              </w:rPr>
              <w:t xml:space="preserve">Robert Walser’s </w:t>
            </w:r>
            <w:r w:rsidRPr="00C42BFB">
              <w:rPr>
                <w:b/>
                <w:i/>
                <w:lang w:val="de-DE"/>
              </w:rPr>
              <w:t>Jakob von Gunten</w:t>
            </w:r>
            <w:r w:rsidRPr="00C42BFB">
              <w:rPr>
                <w:lang w:val="de-DE"/>
              </w:rPr>
              <w:t xml:space="preserve"> 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6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r w:rsidRPr="00C42BFB">
              <w:t>Reading week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7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pPr>
              <w:rPr>
                <w:lang w:val="de-DE"/>
              </w:rPr>
            </w:pPr>
            <w:r w:rsidRPr="00C42BFB">
              <w:rPr>
                <w:b/>
                <w:lang w:val="de-DE"/>
              </w:rPr>
              <w:t xml:space="preserve">Family Dynamics in Franz Kafka’s </w:t>
            </w:r>
            <w:r w:rsidRPr="00C42BFB">
              <w:rPr>
                <w:i/>
                <w:lang w:val="de-DE"/>
              </w:rPr>
              <w:t>Die Verwandlung</w:t>
            </w:r>
            <w:r w:rsidRPr="00C42BFB">
              <w:rPr>
                <w:lang w:val="de-DE"/>
              </w:rPr>
              <w:t xml:space="preserve"> </w:t>
            </w:r>
          </w:p>
        </w:tc>
      </w:tr>
      <w:tr w:rsidR="00C42BFB" w:rsidRPr="00C42BFB" w:rsidTr="00B70006">
        <w:tc>
          <w:tcPr>
            <w:tcW w:w="774" w:type="pct"/>
          </w:tcPr>
          <w:p w:rsidR="00C42BFB" w:rsidRPr="00C42BFB" w:rsidRDefault="00C42BFB" w:rsidP="00C42BFB">
            <w:pPr>
              <w:rPr>
                <w:lang w:val="de-DE"/>
              </w:rPr>
            </w:pPr>
          </w:p>
        </w:tc>
        <w:tc>
          <w:tcPr>
            <w:tcW w:w="4226" w:type="pct"/>
          </w:tcPr>
          <w:p w:rsidR="00C42BFB" w:rsidRPr="00C42BFB" w:rsidRDefault="00C42BFB" w:rsidP="00C42BFB">
            <w:r w:rsidRPr="00C42BFB">
              <w:t xml:space="preserve">Franz Kafka </w:t>
            </w:r>
            <w:r w:rsidRPr="00C42BFB">
              <w:rPr>
                <w:i/>
              </w:rPr>
              <w:t>Die Verwandlung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8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pPr>
              <w:rPr>
                <w:lang w:val="de-DE"/>
              </w:rPr>
            </w:pPr>
            <w:r w:rsidRPr="00C42BFB">
              <w:rPr>
                <w:b/>
                <w:lang w:val="de-DE"/>
              </w:rPr>
              <w:t xml:space="preserve">Patriarchal power in Franz Kafka’s </w:t>
            </w:r>
            <w:r w:rsidRPr="00C42BFB">
              <w:rPr>
                <w:i/>
                <w:lang w:val="de-DE"/>
              </w:rPr>
              <w:t>Die Verwandlung</w:t>
            </w:r>
            <w:r w:rsidRPr="00C42BFB">
              <w:rPr>
                <w:lang w:val="de-DE"/>
              </w:rPr>
              <w:t xml:space="preserve"> </w:t>
            </w:r>
          </w:p>
          <w:p w:rsidR="00C42BFB" w:rsidRPr="00C42BFB" w:rsidRDefault="00C42BFB" w:rsidP="00C42BFB">
            <w:r w:rsidRPr="00C42BFB">
              <w:t xml:space="preserve">Franz Kafka </w:t>
            </w:r>
            <w:r w:rsidRPr="00C42BFB">
              <w:rPr>
                <w:i/>
              </w:rPr>
              <w:t>Die Verwandlung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9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pPr>
              <w:rPr>
                <w:bCs/>
                <w:i/>
                <w:iCs/>
                <w:lang w:val="de-DE"/>
              </w:rPr>
            </w:pPr>
            <w:r w:rsidRPr="00C42BFB">
              <w:rPr>
                <w:b/>
                <w:bCs/>
                <w:lang w:val="de-DE"/>
              </w:rPr>
              <w:t xml:space="preserve">The Critique of Capitalism in Expressionist drama: Georg Kaiser’s </w:t>
            </w:r>
            <w:r w:rsidRPr="00C42BFB">
              <w:rPr>
                <w:b/>
                <w:bCs/>
                <w:i/>
                <w:iCs/>
                <w:lang w:val="de-DE"/>
              </w:rPr>
              <w:t>Von morgens bis mitternachts</w:t>
            </w:r>
          </w:p>
          <w:p w:rsidR="00C42BFB" w:rsidRPr="00C42BFB" w:rsidRDefault="00C42BFB" w:rsidP="00C42BFB">
            <w:pPr>
              <w:rPr>
                <w:lang w:val="de-DE"/>
              </w:rPr>
            </w:pPr>
            <w:r w:rsidRPr="00C42BFB">
              <w:rPr>
                <w:bCs/>
                <w:lang w:val="de-DE"/>
              </w:rPr>
              <w:t xml:space="preserve">Georg Kaiser </w:t>
            </w:r>
            <w:r w:rsidRPr="00C42BFB">
              <w:rPr>
                <w:bCs/>
                <w:i/>
                <w:iCs/>
                <w:lang w:val="de-DE"/>
              </w:rPr>
              <w:t>Von morgens bis mitternachts</w:t>
            </w:r>
          </w:p>
        </w:tc>
      </w:tr>
      <w:tr w:rsidR="00C42BFB" w:rsidRPr="00C42BFB" w:rsidTr="00B70006">
        <w:tc>
          <w:tcPr>
            <w:tcW w:w="774" w:type="pct"/>
            <w:hideMark/>
          </w:tcPr>
          <w:p w:rsidR="00C42BFB" w:rsidRPr="00C42BFB" w:rsidRDefault="00C42BFB" w:rsidP="00C42BFB">
            <w:r w:rsidRPr="00C42BFB">
              <w:t>Week 10</w:t>
            </w:r>
          </w:p>
        </w:tc>
        <w:tc>
          <w:tcPr>
            <w:tcW w:w="4226" w:type="pct"/>
            <w:hideMark/>
          </w:tcPr>
          <w:p w:rsidR="00C42BFB" w:rsidRPr="00C42BFB" w:rsidRDefault="00C42BFB" w:rsidP="00C42BFB">
            <w:r w:rsidRPr="00C42BFB">
              <w:t xml:space="preserve">Seminar: </w:t>
            </w:r>
            <w:r w:rsidRPr="00C42BFB">
              <w:rPr>
                <w:b/>
              </w:rPr>
              <w:t>Expressionist drama and summary</w:t>
            </w:r>
            <w:r w:rsidRPr="00C42BFB">
              <w:t xml:space="preserve"> </w:t>
            </w:r>
          </w:p>
        </w:tc>
      </w:tr>
    </w:tbl>
    <w:p w:rsidR="001F163F" w:rsidRDefault="001F163F" w:rsidP="00C42BFB">
      <w:pPr>
        <w:rPr>
          <w:lang w:val="de-DE"/>
        </w:rPr>
      </w:pPr>
    </w:p>
    <w:p w:rsidR="00C42BFB" w:rsidRPr="00C42BFB" w:rsidRDefault="00597990" w:rsidP="00C42BFB">
      <w:pPr>
        <w:rPr>
          <w:lang w:val="de-DE"/>
        </w:rPr>
      </w:pPr>
      <w:r>
        <w:rPr>
          <w:lang w:val="de-DE"/>
        </w:rPr>
        <w:t>CA</w:t>
      </w:r>
      <w:r w:rsidR="00C42BFB" w:rsidRPr="00C42BFB">
        <w:rPr>
          <w:lang w:val="de-DE"/>
        </w:rPr>
        <w:t xml:space="preserve">, </w:t>
      </w:r>
      <w:r>
        <w:rPr>
          <w:lang w:val="de-DE"/>
        </w:rPr>
        <w:t>September 2018</w:t>
      </w:r>
    </w:p>
    <w:p w:rsidR="00701392" w:rsidRPr="00FB5C2A" w:rsidRDefault="00701392" w:rsidP="00701392">
      <w:pPr>
        <w:spacing w:before="627" w:after="240" w:line="247" w:lineRule="exact"/>
        <w:jc w:val="both"/>
        <w:textAlignment w:val="baseline"/>
        <w:rPr>
          <w:rFonts w:eastAsia="Verdana"/>
          <w:b/>
          <w:color w:val="000000"/>
          <w:spacing w:val="-3"/>
          <w:lang w:val="de-DE"/>
        </w:rPr>
      </w:pPr>
      <w:r w:rsidRPr="00FB5C2A">
        <w:rPr>
          <w:rFonts w:eastAsia="Verdana"/>
          <w:b/>
          <w:color w:val="000000"/>
          <w:spacing w:val="-3"/>
          <w:lang w:val="de-DE"/>
        </w:rPr>
        <w:t>Reading List</w:t>
      </w:r>
    </w:p>
    <w:p w:rsidR="00701392" w:rsidRPr="00FB5C2A" w:rsidRDefault="00701392" w:rsidP="00701392">
      <w:pPr>
        <w:spacing w:before="43" w:line="254" w:lineRule="exact"/>
        <w:ind w:left="720"/>
        <w:jc w:val="both"/>
        <w:textAlignment w:val="baseline"/>
        <w:rPr>
          <w:rFonts w:eastAsia="Verdana"/>
          <w:color w:val="000000"/>
          <w:spacing w:val="-4"/>
          <w:lang w:val="de-DE"/>
        </w:rPr>
      </w:pPr>
      <w:r w:rsidRPr="00FB5C2A">
        <w:rPr>
          <w:rFonts w:eastAsia="Verdana"/>
          <w:color w:val="000000"/>
          <w:spacing w:val="-3"/>
          <w:lang w:val="de-DE"/>
        </w:rPr>
        <w:t xml:space="preserve">Theodor Fontane, </w:t>
      </w:r>
      <w:r w:rsidRPr="00FB5C2A">
        <w:rPr>
          <w:rFonts w:eastAsia="Verdana"/>
          <w:i/>
          <w:color w:val="000000"/>
          <w:spacing w:val="-3"/>
          <w:lang w:val="de-DE"/>
        </w:rPr>
        <w:t xml:space="preserve">Effi Briest, </w:t>
      </w:r>
      <w:r w:rsidRPr="00FB5C2A">
        <w:rPr>
          <w:rFonts w:eastAsia="Verdana"/>
          <w:color w:val="000000"/>
          <w:spacing w:val="-3"/>
          <w:lang w:val="de-DE"/>
        </w:rPr>
        <w:t xml:space="preserve">Mit Text and Kommentar von Dieter Wohrle (Suhrkamp </w:t>
      </w:r>
      <w:r w:rsidRPr="00FB5C2A">
        <w:rPr>
          <w:rFonts w:eastAsia="Verdana"/>
          <w:color w:val="000000"/>
          <w:spacing w:val="-4"/>
          <w:lang w:val="de-DE"/>
        </w:rPr>
        <w:t>BasisBibliothek Nr. 47)</w:t>
      </w:r>
    </w:p>
    <w:p w:rsidR="00701392" w:rsidRPr="00FB5C2A" w:rsidRDefault="00701392" w:rsidP="00701392">
      <w:pPr>
        <w:spacing w:before="48" w:line="253" w:lineRule="exact"/>
        <w:ind w:firstLine="720"/>
        <w:jc w:val="both"/>
        <w:textAlignment w:val="baseline"/>
        <w:rPr>
          <w:rFonts w:eastAsia="Verdana"/>
          <w:color w:val="000000"/>
          <w:spacing w:val="-4"/>
          <w:lang w:val="de-DE"/>
        </w:rPr>
      </w:pPr>
      <w:r w:rsidRPr="00FB5C2A">
        <w:rPr>
          <w:rFonts w:eastAsia="Verdana"/>
          <w:color w:val="000000"/>
          <w:spacing w:val="-4"/>
          <w:lang w:val="de-DE"/>
        </w:rPr>
        <w:t xml:space="preserve">Gerhart Hauptmann, </w:t>
      </w:r>
      <w:r w:rsidRPr="00FB5C2A">
        <w:rPr>
          <w:rFonts w:eastAsia="Verdana"/>
          <w:i/>
          <w:color w:val="000000"/>
          <w:spacing w:val="-4"/>
          <w:lang w:val="de-DE"/>
        </w:rPr>
        <w:t xml:space="preserve">Vor Sonnenaufgang. Soziales Drama </w:t>
      </w:r>
      <w:r w:rsidRPr="00FB5C2A">
        <w:rPr>
          <w:rFonts w:eastAsia="Verdana"/>
          <w:color w:val="000000"/>
          <w:spacing w:val="-4"/>
          <w:lang w:val="de-DE"/>
        </w:rPr>
        <w:t>(Ullstein Verlag)</w:t>
      </w:r>
    </w:p>
    <w:p w:rsidR="00701392" w:rsidRPr="00FB5C2A" w:rsidRDefault="00701392" w:rsidP="00701392">
      <w:pPr>
        <w:spacing w:before="42" w:line="251" w:lineRule="exact"/>
        <w:ind w:left="720"/>
        <w:jc w:val="both"/>
        <w:textAlignment w:val="baseline"/>
        <w:rPr>
          <w:rFonts w:eastAsia="Verdana"/>
          <w:color w:val="000000"/>
          <w:spacing w:val="-3"/>
          <w:lang w:val="de-DE"/>
        </w:rPr>
      </w:pPr>
      <w:r w:rsidRPr="00FB5C2A">
        <w:rPr>
          <w:rFonts w:eastAsia="Verdana"/>
          <w:color w:val="000000"/>
          <w:spacing w:val="-3"/>
          <w:lang w:val="de-DE"/>
        </w:rPr>
        <w:t xml:space="preserve">Gerhart Hauptmann, </w:t>
      </w:r>
      <w:r w:rsidRPr="00FB5C2A">
        <w:rPr>
          <w:rFonts w:eastAsia="Verdana"/>
          <w:i/>
          <w:color w:val="000000"/>
          <w:spacing w:val="-3"/>
          <w:lang w:val="de-DE"/>
        </w:rPr>
        <w:t xml:space="preserve">Einsame Menschen </w:t>
      </w:r>
      <w:r w:rsidRPr="00FB5C2A">
        <w:rPr>
          <w:rFonts w:eastAsia="Verdana"/>
          <w:color w:val="000000"/>
          <w:spacing w:val="-3"/>
          <w:lang w:val="de-DE"/>
        </w:rPr>
        <w:t>(Ullstein Verlag)</w:t>
      </w:r>
    </w:p>
    <w:p w:rsidR="00701392" w:rsidRPr="00DF3B03" w:rsidRDefault="00701392" w:rsidP="00701392">
      <w:pPr>
        <w:spacing w:before="46" w:line="251" w:lineRule="exact"/>
        <w:ind w:left="720"/>
        <w:jc w:val="both"/>
        <w:textAlignment w:val="baseline"/>
        <w:rPr>
          <w:rFonts w:eastAsia="Verdana"/>
          <w:color w:val="000000"/>
          <w:spacing w:val="-5"/>
        </w:rPr>
      </w:pPr>
      <w:r w:rsidRPr="00DF3B03">
        <w:rPr>
          <w:rFonts w:eastAsia="Verdana"/>
          <w:color w:val="000000"/>
          <w:spacing w:val="-5"/>
          <w:lang w:val="en-US"/>
        </w:rPr>
        <w:t xml:space="preserve">Henrik Ibsen </w:t>
      </w:r>
      <w:r w:rsidRPr="00DF3B03">
        <w:rPr>
          <w:rFonts w:eastAsia="Verdana"/>
          <w:i/>
          <w:color w:val="000000"/>
          <w:spacing w:val="-5"/>
          <w:lang w:val="en-US"/>
        </w:rPr>
        <w:t xml:space="preserve">Ghosts </w:t>
      </w:r>
      <w:r w:rsidRPr="00DF3B03">
        <w:rPr>
          <w:rFonts w:eastAsia="Verdana"/>
          <w:color w:val="000000"/>
          <w:spacing w:val="-5"/>
          <w:lang w:val="en-US"/>
        </w:rPr>
        <w:t>(Penguin)</w:t>
      </w:r>
    </w:p>
    <w:p w:rsidR="00701392" w:rsidRDefault="00701392" w:rsidP="00701392">
      <w:pPr>
        <w:spacing w:before="42" w:line="246" w:lineRule="exact"/>
        <w:ind w:left="720"/>
        <w:jc w:val="both"/>
        <w:textAlignment w:val="baseline"/>
        <w:rPr>
          <w:rFonts w:eastAsia="Verdana"/>
          <w:color w:val="000000"/>
          <w:spacing w:val="-5"/>
          <w:lang w:val="en-US"/>
        </w:rPr>
      </w:pPr>
      <w:r w:rsidRPr="00DF3B03">
        <w:rPr>
          <w:rFonts w:eastAsia="Verdana"/>
          <w:color w:val="000000"/>
          <w:spacing w:val="-5"/>
          <w:lang w:val="en-US"/>
        </w:rPr>
        <w:t xml:space="preserve">Henrik Ibsen </w:t>
      </w:r>
      <w:r w:rsidRPr="00DF3B03">
        <w:rPr>
          <w:rFonts w:eastAsia="Verdana"/>
          <w:i/>
          <w:color w:val="000000"/>
          <w:spacing w:val="-5"/>
          <w:lang w:val="en-US"/>
        </w:rPr>
        <w:t xml:space="preserve">A Doll's House </w:t>
      </w:r>
      <w:r w:rsidRPr="00DF3B03">
        <w:rPr>
          <w:rFonts w:eastAsia="Verdana"/>
          <w:color w:val="000000"/>
          <w:spacing w:val="-5"/>
          <w:lang w:val="en-US"/>
        </w:rPr>
        <w:t>(Penguin)</w:t>
      </w:r>
    </w:p>
    <w:p w:rsidR="00701392" w:rsidRPr="00FB5C2A" w:rsidRDefault="00701392" w:rsidP="00701392">
      <w:pPr>
        <w:spacing w:before="43" w:line="246" w:lineRule="exact"/>
        <w:ind w:left="720"/>
        <w:jc w:val="both"/>
        <w:textAlignment w:val="baseline"/>
        <w:rPr>
          <w:rFonts w:eastAsia="Verdana"/>
          <w:color w:val="000000"/>
          <w:spacing w:val="-5"/>
          <w:lang w:val="de-DE"/>
        </w:rPr>
      </w:pPr>
      <w:r w:rsidRPr="00FB5C2A">
        <w:rPr>
          <w:rFonts w:eastAsia="Verdana"/>
          <w:color w:val="000000"/>
          <w:spacing w:val="-5"/>
          <w:lang w:val="de-DE"/>
        </w:rPr>
        <w:t xml:space="preserve">Arthur Schnitzler, </w:t>
      </w:r>
      <w:r w:rsidRPr="00FB5C2A">
        <w:rPr>
          <w:rFonts w:eastAsia="Verdana"/>
          <w:i/>
          <w:color w:val="000000"/>
          <w:spacing w:val="-5"/>
          <w:lang w:val="de-DE"/>
        </w:rPr>
        <w:t xml:space="preserve">Fräulein Else </w:t>
      </w:r>
      <w:r w:rsidRPr="00FB5C2A">
        <w:rPr>
          <w:rFonts w:eastAsia="Verdana"/>
          <w:color w:val="000000"/>
          <w:spacing w:val="-5"/>
          <w:lang w:val="de-DE"/>
        </w:rPr>
        <w:t>(Reclam)</w:t>
      </w:r>
    </w:p>
    <w:p w:rsidR="00701392" w:rsidRPr="00FB5C2A" w:rsidRDefault="00701392" w:rsidP="00701392">
      <w:pPr>
        <w:spacing w:before="46" w:line="251" w:lineRule="exact"/>
        <w:ind w:left="720"/>
        <w:jc w:val="both"/>
        <w:textAlignment w:val="baseline"/>
        <w:rPr>
          <w:rFonts w:eastAsia="Verdana"/>
          <w:color w:val="000000"/>
          <w:spacing w:val="-4"/>
          <w:lang w:val="de-DE"/>
        </w:rPr>
      </w:pPr>
      <w:r w:rsidRPr="00FB5C2A">
        <w:rPr>
          <w:rFonts w:eastAsia="Verdana"/>
          <w:color w:val="000000"/>
          <w:spacing w:val="-4"/>
          <w:lang w:val="de-DE"/>
        </w:rPr>
        <w:t xml:space="preserve">Arthur Schnitzler, </w:t>
      </w:r>
      <w:r w:rsidRPr="00FB5C2A">
        <w:rPr>
          <w:rFonts w:eastAsia="Verdana"/>
          <w:i/>
          <w:color w:val="000000"/>
          <w:spacing w:val="-4"/>
          <w:lang w:val="de-DE"/>
        </w:rPr>
        <w:t xml:space="preserve">Reigen / Liebelei. </w:t>
      </w:r>
      <w:r w:rsidRPr="00FB5C2A">
        <w:rPr>
          <w:rFonts w:eastAsia="Verdana"/>
          <w:color w:val="000000"/>
          <w:spacing w:val="-4"/>
          <w:lang w:val="de-DE"/>
        </w:rPr>
        <w:t>Zwei Theaterstucke (Fischer Taschenbuchverlag)</w:t>
      </w:r>
    </w:p>
    <w:p w:rsidR="00701392" w:rsidRPr="00FB5C2A" w:rsidRDefault="00701392" w:rsidP="00701392">
      <w:pPr>
        <w:spacing w:before="46" w:line="247" w:lineRule="exact"/>
        <w:ind w:left="720"/>
        <w:jc w:val="both"/>
        <w:textAlignment w:val="baseline"/>
        <w:rPr>
          <w:rFonts w:eastAsia="Verdana"/>
          <w:color w:val="000000"/>
          <w:spacing w:val="-4"/>
          <w:lang w:val="de-DE"/>
        </w:rPr>
      </w:pPr>
      <w:r w:rsidRPr="00FB5C2A">
        <w:rPr>
          <w:rFonts w:eastAsia="Verdana"/>
          <w:color w:val="000000"/>
          <w:spacing w:val="-4"/>
          <w:lang w:val="de-DE"/>
        </w:rPr>
        <w:t xml:space="preserve">Thomas Mann, </w:t>
      </w:r>
      <w:r w:rsidRPr="00FB5C2A">
        <w:rPr>
          <w:rFonts w:eastAsia="Verdana"/>
          <w:i/>
          <w:color w:val="000000"/>
          <w:spacing w:val="-4"/>
          <w:lang w:val="de-DE"/>
        </w:rPr>
        <w:t xml:space="preserve">Der Tod in Venedig </w:t>
      </w:r>
      <w:r w:rsidRPr="00FB5C2A">
        <w:rPr>
          <w:rFonts w:eastAsia="Verdana"/>
          <w:color w:val="000000"/>
          <w:spacing w:val="-4"/>
          <w:lang w:val="de-DE"/>
        </w:rPr>
        <w:t>(Fischer TB)</w:t>
      </w:r>
    </w:p>
    <w:p w:rsidR="00701392" w:rsidRPr="00FB5C2A" w:rsidRDefault="00701392" w:rsidP="00701392">
      <w:pPr>
        <w:spacing w:before="45" w:line="247" w:lineRule="exact"/>
        <w:ind w:left="720"/>
        <w:jc w:val="both"/>
        <w:textAlignment w:val="baseline"/>
        <w:rPr>
          <w:rFonts w:eastAsia="Verdana"/>
          <w:color w:val="000000"/>
          <w:spacing w:val="-8"/>
          <w:lang w:val="de-DE"/>
        </w:rPr>
      </w:pPr>
      <w:r w:rsidRPr="00FB5C2A">
        <w:rPr>
          <w:rFonts w:eastAsia="Verdana"/>
          <w:color w:val="000000"/>
          <w:spacing w:val="-3"/>
          <w:lang w:val="de-DE"/>
        </w:rPr>
        <w:t xml:space="preserve">Franz Kafka, </w:t>
      </w:r>
      <w:r w:rsidRPr="00FB5C2A">
        <w:rPr>
          <w:rFonts w:eastAsia="Verdana"/>
          <w:i/>
          <w:color w:val="000000"/>
          <w:spacing w:val="-3"/>
          <w:lang w:val="de-DE"/>
        </w:rPr>
        <w:t xml:space="preserve">Das Urteil. </w:t>
      </w:r>
      <w:r w:rsidRPr="00FB5C2A">
        <w:rPr>
          <w:rFonts w:eastAsia="Verdana"/>
          <w:color w:val="000000"/>
          <w:spacing w:val="-3"/>
          <w:lang w:val="de-DE"/>
        </w:rPr>
        <w:t xml:space="preserve">Franz Kafka, Das Urteil (1912) In: Franz Kafka </w:t>
      </w:r>
      <w:r w:rsidRPr="00FB5C2A">
        <w:rPr>
          <w:rFonts w:eastAsia="Verdana"/>
          <w:i/>
          <w:color w:val="000000"/>
          <w:spacing w:val="-3"/>
          <w:lang w:val="de-DE"/>
        </w:rPr>
        <w:t>Erzahlungen,</w:t>
      </w:r>
      <w:r w:rsidRPr="00FB5C2A">
        <w:rPr>
          <w:rFonts w:eastAsia="Verdana"/>
          <w:color w:val="000000"/>
          <w:spacing w:val="-3"/>
          <w:lang w:val="de-DE"/>
        </w:rPr>
        <w:t xml:space="preserve"> </w:t>
      </w:r>
      <w:r w:rsidRPr="00FB5C2A">
        <w:rPr>
          <w:rFonts w:eastAsia="Verdana"/>
          <w:color w:val="000000"/>
          <w:spacing w:val="-8"/>
          <w:lang w:val="de-DE"/>
        </w:rPr>
        <w:t>(Reclam, 1985)</w:t>
      </w:r>
    </w:p>
    <w:p w:rsidR="00701392" w:rsidRPr="00FB5C2A" w:rsidRDefault="00701392" w:rsidP="00701392">
      <w:pPr>
        <w:spacing w:before="44" w:line="249" w:lineRule="exact"/>
        <w:ind w:left="720"/>
        <w:jc w:val="both"/>
        <w:textAlignment w:val="baseline"/>
        <w:rPr>
          <w:rFonts w:eastAsia="Verdana"/>
          <w:color w:val="000000"/>
          <w:spacing w:val="-6"/>
          <w:lang w:val="de-DE"/>
        </w:rPr>
      </w:pPr>
      <w:r w:rsidRPr="00FB5C2A">
        <w:rPr>
          <w:rFonts w:eastAsia="Verdana"/>
          <w:color w:val="000000"/>
          <w:spacing w:val="-6"/>
          <w:lang w:val="de-DE"/>
        </w:rPr>
        <w:t xml:space="preserve">Franz Kafka: </w:t>
      </w:r>
      <w:r w:rsidRPr="00FB5C2A">
        <w:rPr>
          <w:rFonts w:eastAsia="Verdana"/>
          <w:i/>
          <w:color w:val="000000"/>
          <w:spacing w:val="-6"/>
          <w:lang w:val="de-DE"/>
        </w:rPr>
        <w:t xml:space="preserve">Die Verwandlung. </w:t>
      </w:r>
      <w:r w:rsidRPr="00FB5C2A">
        <w:rPr>
          <w:rFonts w:eastAsia="Verdana"/>
          <w:color w:val="000000"/>
          <w:spacing w:val="-6"/>
          <w:lang w:val="de-DE"/>
        </w:rPr>
        <w:t xml:space="preserve">In: Franz Kafka </w:t>
      </w:r>
      <w:r w:rsidRPr="00FB5C2A">
        <w:rPr>
          <w:rFonts w:eastAsia="Verdana"/>
          <w:i/>
          <w:color w:val="000000"/>
          <w:spacing w:val="-6"/>
          <w:lang w:val="de-DE"/>
        </w:rPr>
        <w:t>Erzahlungen, (</w:t>
      </w:r>
      <w:r w:rsidRPr="00FB5C2A">
        <w:rPr>
          <w:rFonts w:eastAsia="Verdana"/>
          <w:color w:val="000000"/>
          <w:spacing w:val="-6"/>
          <w:lang w:val="de-DE"/>
        </w:rPr>
        <w:t>Reclam, 1985)</w:t>
      </w:r>
    </w:p>
    <w:p w:rsidR="00701392" w:rsidRPr="00FB5C2A" w:rsidRDefault="00701392" w:rsidP="00701392">
      <w:pPr>
        <w:spacing w:before="340" w:line="246" w:lineRule="exact"/>
        <w:ind w:left="720"/>
        <w:jc w:val="both"/>
        <w:textAlignment w:val="baseline"/>
        <w:rPr>
          <w:rFonts w:eastAsia="Verdana"/>
          <w:color w:val="000000"/>
          <w:spacing w:val="-5"/>
          <w:lang w:val="de-DE"/>
        </w:rPr>
      </w:pPr>
      <w:r w:rsidRPr="00FB5C2A">
        <w:rPr>
          <w:rFonts w:eastAsia="Verdana"/>
          <w:color w:val="000000"/>
          <w:spacing w:val="-5"/>
          <w:lang w:val="de-DE"/>
        </w:rPr>
        <w:t xml:space="preserve">Robert Walser, </w:t>
      </w:r>
      <w:r w:rsidRPr="00FB5C2A">
        <w:rPr>
          <w:rFonts w:eastAsia="Verdana"/>
          <w:i/>
          <w:color w:val="000000"/>
          <w:spacing w:val="-5"/>
          <w:lang w:val="de-DE"/>
        </w:rPr>
        <w:t xml:space="preserve">Jakob von Gunten </w:t>
      </w:r>
      <w:r w:rsidRPr="00FB5C2A">
        <w:rPr>
          <w:rFonts w:eastAsia="Verdana"/>
          <w:color w:val="000000"/>
          <w:spacing w:val="-5"/>
          <w:lang w:val="de-DE"/>
        </w:rPr>
        <w:t>(Suhrkamp)</w:t>
      </w:r>
    </w:p>
    <w:p w:rsidR="00701392" w:rsidRPr="00FB5C2A" w:rsidRDefault="00701392" w:rsidP="00701392">
      <w:pPr>
        <w:spacing w:before="42" w:line="250" w:lineRule="exact"/>
        <w:ind w:left="720"/>
        <w:jc w:val="both"/>
        <w:textAlignment w:val="baseline"/>
        <w:rPr>
          <w:rFonts w:eastAsia="Verdana"/>
          <w:color w:val="000000"/>
          <w:spacing w:val="-5"/>
          <w:lang w:val="de-DE"/>
        </w:rPr>
      </w:pPr>
      <w:r w:rsidRPr="00FB5C2A">
        <w:rPr>
          <w:rFonts w:eastAsia="Verdana"/>
          <w:color w:val="000000"/>
          <w:spacing w:val="-4"/>
          <w:lang w:val="de-DE"/>
        </w:rPr>
        <w:t xml:space="preserve">Frank Wedekind, </w:t>
      </w:r>
      <w:r w:rsidRPr="00FB5C2A">
        <w:rPr>
          <w:rFonts w:eastAsia="Verdana"/>
          <w:i/>
          <w:color w:val="000000"/>
          <w:spacing w:val="-4"/>
          <w:lang w:val="de-DE"/>
        </w:rPr>
        <w:t xml:space="preserve">Friihlings Erwachen — eine Kindertragadie, </w:t>
      </w:r>
      <w:r w:rsidRPr="00FB5C2A">
        <w:rPr>
          <w:rFonts w:eastAsia="Verdana"/>
          <w:color w:val="000000"/>
          <w:spacing w:val="-4"/>
          <w:lang w:val="de-DE"/>
        </w:rPr>
        <w:t xml:space="preserve">mit einem Kommentar </w:t>
      </w:r>
      <w:r w:rsidRPr="00FB5C2A">
        <w:rPr>
          <w:rFonts w:eastAsia="Verdana"/>
          <w:color w:val="000000"/>
          <w:spacing w:val="-5"/>
          <w:lang w:val="de-DE"/>
        </w:rPr>
        <w:t>von Hansgeorg Schmidt-Bergmann (Suhrkamp BasisBibliothek Nr. 21)</w:t>
      </w:r>
    </w:p>
    <w:p w:rsidR="005767F5" w:rsidRPr="00701392" w:rsidRDefault="00701392" w:rsidP="00701392">
      <w:pPr>
        <w:ind w:firstLine="720"/>
        <w:rPr>
          <w:lang w:val="de-DE"/>
        </w:rPr>
      </w:pPr>
      <w:r w:rsidRPr="00FB5C2A">
        <w:rPr>
          <w:rFonts w:eastAsia="Verdana"/>
          <w:color w:val="000000"/>
          <w:spacing w:val="-5"/>
          <w:lang w:val="de-DE"/>
        </w:rPr>
        <w:t xml:space="preserve">Georg Kaiser </w:t>
      </w:r>
      <w:r w:rsidRPr="00FB5C2A">
        <w:rPr>
          <w:rFonts w:eastAsia="Verdana"/>
          <w:i/>
          <w:color w:val="000000"/>
          <w:spacing w:val="-5"/>
          <w:lang w:val="de-DE"/>
        </w:rPr>
        <w:t xml:space="preserve">Von morgens bis mitternachts </w:t>
      </w:r>
      <w:r w:rsidRPr="00FB5C2A">
        <w:rPr>
          <w:rFonts w:eastAsia="Verdana"/>
          <w:color w:val="000000"/>
          <w:spacing w:val="-5"/>
          <w:lang w:val="de-DE"/>
        </w:rPr>
        <w:t>(Reclam)</w:t>
      </w:r>
    </w:p>
    <w:sectPr w:rsidR="005767F5" w:rsidRPr="0070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FB"/>
    <w:rsid w:val="001F163F"/>
    <w:rsid w:val="004C6311"/>
    <w:rsid w:val="00597990"/>
    <w:rsid w:val="005C476C"/>
    <w:rsid w:val="005E7399"/>
    <w:rsid w:val="00701392"/>
    <w:rsid w:val="008E3351"/>
    <w:rsid w:val="00A41BCB"/>
    <w:rsid w:val="00C42BFB"/>
    <w:rsid w:val="00F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88A6B-CECC-4BD1-8B87-501D2E15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Shortt, Linda</dc:creator>
  <cp:keywords/>
  <dc:description/>
  <cp:lastModifiedBy>Ng, Justin</cp:lastModifiedBy>
  <cp:revision>2</cp:revision>
  <dcterms:created xsi:type="dcterms:W3CDTF">2018-10-02T14:08:00Z</dcterms:created>
  <dcterms:modified xsi:type="dcterms:W3CDTF">2018-10-02T14:08:00Z</dcterms:modified>
</cp:coreProperties>
</file>