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964"/>
          <w:sz w:val="36"/>
        </w:rPr>
        <w:t>LYNNCHRIS TOOLS CHEST</w:t>
      </w:r>
    </w:p>
    <w:p>
      <w:pPr>
        <w:jc w:val="center"/>
      </w:pPr>
      <w:r>
        <w:rPr>
          <w:b/>
          <w:sz w:val="24"/>
        </w:rPr>
        <w:t>Price Action Analysis Toolkit - Due Diligence Series</w:t>
      </w:r>
    </w:p>
    <w:p>
      <w:pPr>
        <w:jc w:val="center"/>
      </w:pPr>
      <w:r>
        <w:rPr>
          <w:b/>
          <w:sz w:val="24"/>
        </w:rPr>
        <w:t>PART 8 OF 65</w:t>
      </w:r>
    </w:p>
    <w:p>
      <w:pPr>
        <w:jc w:val="center"/>
      </w:pPr>
      <w:r>
        <w:rPr>
          <w:b/>
          <w:color w:val="1F3964"/>
          <w:sz w:val="32"/>
        </w:rPr>
        <w:t>METRICS BOARD</w:t>
      </w:r>
    </w:p>
    <w:p>
      <w:pPr>
        <w:jc w:val="center"/>
      </w:pPr>
      <w:r>
        <w:rPr>
          <w:i/>
        </w:rPr>
        <w:t>Interactive On-Demand Market Analysis Panel — 6 Analysis Buttons, H1 Timeframe</w:t>
      </w:r>
    </w:p>
    <w:p/>
    <w:p>
      <w:pPr>
        <w:pStyle w:val="Heading1"/>
      </w:pPr>
      <w:r>
        <w:rPr>
          <w:color w:val="1F3964"/>
        </w:rPr>
        <w:t>1. What Is Metrics Board?</w:t>
      </w:r>
    </w:p>
    <w:p>
      <w:r>
        <w:rPr>
          <w:b/>
          <w:i w:val="0"/>
        </w:rPr>
        <w:t>Verdict: REFERENCE — extract the 6 metrics as a structured data object. The UI architecture is MQL5-specific but the metric set is reusable.</w:t>
      </w:r>
    </w:p>
    <w:p>
      <w:r>
        <w:rPr>
          <w:b w:val="0"/>
          <w:i w:val="0"/>
        </w:rPr>
        <w:t>Type: Expert Advisor (UI Panel)  |  Category: interactive_dashboard  |  Published: 2025-01-23</w:t>
      </w:r>
    </w:p>
    <w:p>
      <w:r>
        <w:rPr>
          <w:b w:val="0"/>
          <w:i/>
        </w:rPr>
        <w:t>URL: https://www.mql5.com/en/articles/16584</w:t>
      </w:r>
    </w:p>
    <w:p/>
    <w:p>
      <w:pPr>
        <w:pStyle w:val="Heading1"/>
      </w:pPr>
      <w:r>
        <w:rPr>
          <w:color w:val="1F3964"/>
        </w:rPr>
        <w:t>2. Core Trading Concept</w:t>
      </w:r>
    </w:p>
    <w:p>
      <w:r>
        <w:rPr>
          <w:b/>
          <w:i w:val="0"/>
        </w:rPr>
        <w:t>On-Demand Metrics Retrieval</w:t>
      </w:r>
    </w:p>
    <w:p>
      <w:r>
        <w:rPr>
          <w:b w:val="0"/>
          <w:i w:val="0"/>
        </w:rPr>
        <w:t>Display only what the trader asks for, when they ask for it. Six dedicated analysis views, each fetched on button click. Reduces cognitive load compared to always-on dashboards.</w:t>
      </w:r>
    </w:p>
    <w:p/>
    <w:p>
      <w:pPr>
        <w:pStyle w:val="Heading1"/>
      </w:pPr>
      <w:r>
        <w:rPr>
          <w:color w:val="1F3964"/>
        </w:rPr>
        <w:t>3. Data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Input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h1_ohlcv</w:t>
            </w:r>
          </w:p>
        </w:tc>
        <w:tc>
          <w:tcPr>
            <w:tcW w:type="dxa" w:w="4320"/>
          </w:tcPr>
          <w:p>
            <w:r>
              <w:t>timeframe: H1 | fields: high | low | volume | close | range: last 50 bars</w:t>
            </w:r>
          </w:p>
        </w:tc>
      </w:tr>
      <w:tr>
        <w:tc>
          <w:tcPr>
            <w:tcW w:type="dxa" w:w="4320"/>
          </w:tcPr>
          <w:p>
            <w:r>
              <w:t>atr_14</w:t>
            </w:r>
          </w:p>
        </w:tc>
        <w:tc>
          <w:tcPr>
            <w:tcW w:type="dxa" w:w="4320"/>
          </w:tcPr>
          <w:p>
            <w:r>
              <w:t>indicator: ATR | timeframe: H1 | period: 14</w:t>
            </w:r>
          </w:p>
        </w:tc>
      </w:tr>
      <w:tr>
        <w:tc>
          <w:tcPr>
            <w:tcW w:type="dxa" w:w="4320"/>
          </w:tcPr>
          <w:p>
            <w:r>
              <w:t>sma_50</w:t>
            </w:r>
          </w:p>
        </w:tc>
        <w:tc>
          <w:tcPr>
            <w:tcW w:type="dxa" w:w="4320"/>
          </w:tcPr>
          <w:p>
            <w:r>
              <w:t>indicator: SMA | timeframe: H1 | period: 50 | source: close</w:t>
            </w:r>
          </w:p>
        </w:tc>
      </w:tr>
      <w:tr>
        <w:tc>
          <w:tcPr>
            <w:tcW w:type="dxa" w:w="4320"/>
          </w:tcPr>
          <w:p>
            <w:r>
              <w:t>sma_14</w:t>
            </w:r>
          </w:p>
        </w:tc>
        <w:tc>
          <w:tcPr>
            <w:tcW w:type="dxa" w:w="4320"/>
          </w:tcPr>
          <w:p>
            <w:r>
              <w:t>indicator: SMA | timeframe: H1 | period: 14 | source: close</w:t>
            </w:r>
          </w:p>
        </w:tc>
      </w:tr>
    </w:tbl>
    <w:p/>
    <w:p>
      <w:pPr>
        <w:pStyle w:val="Heading1"/>
      </w:pPr>
      <w:r>
        <w:rPr>
          <w:color w:val="1F3964"/>
        </w:rPr>
        <w:t>4. Configuration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Default &amp; Description</w:t>
            </w:r>
          </w:p>
        </w:tc>
      </w:tr>
      <w:tr>
        <w:tc>
          <w:tcPr>
            <w:tcW w:type="dxa" w:w="4320"/>
          </w:tcPr>
          <w:p>
            <w:r>
              <w:t>dialog_x</w:t>
            </w:r>
          </w:p>
        </w:tc>
        <w:tc>
          <w:tcPr>
            <w:tcW w:type="dxa" w:w="4320"/>
          </w:tcPr>
          <w:p>
            <w:r>
              <w:t>default=10 | Panel left edge (pixels from chart left)</w:t>
            </w:r>
          </w:p>
        </w:tc>
      </w:tr>
      <w:tr>
        <w:tc>
          <w:tcPr>
            <w:tcW w:type="dxa" w:w="4320"/>
          </w:tcPr>
          <w:p>
            <w:r>
              <w:t>dialog_y</w:t>
            </w:r>
          </w:p>
        </w:tc>
        <w:tc>
          <w:tcPr>
            <w:tcW w:type="dxa" w:w="4320"/>
          </w:tcPr>
          <w:p>
            <w:r>
              <w:t>default=10 | Panel top edge (pixels from chart top)</w:t>
            </w:r>
          </w:p>
        </w:tc>
      </w:tr>
      <w:tr>
        <w:tc>
          <w:tcPr>
            <w:tcW w:type="dxa" w:w="4320"/>
          </w:tcPr>
          <w:p>
            <w:r>
              <w:t>dialog_width</w:t>
            </w:r>
          </w:p>
        </w:tc>
        <w:tc>
          <w:tcPr>
            <w:tcW w:type="dxa" w:w="4320"/>
          </w:tcPr>
          <w:p>
            <w:r>
              <w:t>default=350 | Total panel width in pixels</w:t>
            </w:r>
          </w:p>
        </w:tc>
      </w:tr>
      <w:tr>
        <w:tc>
          <w:tcPr>
            <w:tcW w:type="dxa" w:w="4320"/>
          </w:tcPr>
          <w:p>
            <w:r>
              <w:t>dialog_height</w:t>
            </w:r>
          </w:p>
        </w:tc>
        <w:tc>
          <w:tcPr>
            <w:tcW w:type="dxa" w:w="4320"/>
          </w:tcPr>
          <w:p>
            <w:r>
              <w:t>default=500 | Total panel height in pixels</w:t>
            </w:r>
          </w:p>
        </w:tc>
      </w:tr>
      <w:tr>
        <w:tc>
          <w:tcPr>
            <w:tcW w:type="dxa" w:w="4320"/>
          </w:tcPr>
          <w:p>
            <w:r>
              <w:t>button_width</w:t>
            </w:r>
          </w:p>
        </w:tc>
        <w:tc>
          <w:tcPr>
            <w:tcW w:type="dxa" w:w="4320"/>
          </w:tcPr>
          <w:p>
            <w:r>
              <w:t>default=300 | Button width in pixels</w:t>
            </w:r>
          </w:p>
        </w:tc>
      </w:tr>
      <w:tr>
        <w:tc>
          <w:tcPr>
            <w:tcW w:type="dxa" w:w="4320"/>
          </w:tcPr>
          <w:p>
            <w:r>
              <w:t>button_height</w:t>
            </w:r>
          </w:p>
        </w:tc>
        <w:tc>
          <w:tcPr>
            <w:tcW w:type="dxa" w:w="4320"/>
          </w:tcPr>
          <w:p>
            <w:r>
              <w:t>default=30 | Button height in pixels</w:t>
            </w:r>
          </w:p>
        </w:tc>
      </w:tr>
      <w:tr>
        <w:tc>
          <w:tcPr>
            <w:tcW w:type="dxa" w:w="4320"/>
          </w:tcPr>
          <w:p>
            <w:r>
              <w:t>spacing</w:t>
            </w:r>
          </w:p>
        </w:tc>
        <w:tc>
          <w:tcPr>
            <w:tcW w:type="dxa" w:w="4320"/>
          </w:tcPr>
          <w:p>
            <w:r>
              <w:t>default=15 | Vertical gap between buttons</w:t>
            </w:r>
          </w:p>
        </w:tc>
      </w:tr>
      <w:tr>
        <w:tc>
          <w:tcPr>
            <w:tcW w:type="dxa" w:w="4320"/>
          </w:tcPr>
          <w:p>
            <w:r>
              <w:t>results_height</w:t>
            </w:r>
          </w:p>
        </w:tc>
        <w:tc>
          <w:tcPr>
            <w:tcW w:type="dxa" w:w="4320"/>
          </w:tcPr>
          <w:p>
            <w:r>
              <w:t>default=50 | Results display area height</w:t>
            </w:r>
          </w:p>
        </w:tc>
      </w:tr>
      <w:tr>
        <w:tc>
          <w:tcPr>
            <w:tcW w:type="dxa" w:w="4320"/>
          </w:tcPr>
          <w:p>
            <w:r>
              <w:t>font_size</w:t>
            </w:r>
          </w:p>
        </w:tc>
        <w:tc>
          <w:tcPr>
            <w:tcW w:type="dxa" w:w="4320"/>
          </w:tcPr>
          <w:p>
            <w:r>
              <w:t>default=12 | Results text font size</w:t>
            </w:r>
          </w:p>
        </w:tc>
      </w:tr>
    </w:tbl>
    <w:p/>
    <w:p>
      <w:pPr>
        <w:pStyle w:val="Heading1"/>
      </w:pPr>
      <w:r>
        <w:rPr>
          <w:color w:val="1F3964"/>
        </w:rPr>
        <w:t>5. Algorithm - Step by Step</w:t>
      </w:r>
    </w:p>
    <w:p>
      <w:pPr>
        <w:pStyle w:val="Heading2"/>
      </w:pPr>
      <w:r>
        <w:rPr>
          <w:color w:val="2E5A88"/>
        </w:rPr>
        <w:t>Step 1 - init_ui</w:t>
      </w:r>
    </w:p>
    <w:p>
      <w:r>
        <w:rPr>
          <w:b w:val="0"/>
          <w:i w:val="0"/>
        </w:rPr>
        <w:t>Build CAppDialog with 6 analysis buttons + 1 close button</w:t>
      </w:r>
    </w:p>
    <w:p>
      <w:pPr>
        <w:pStyle w:val="Heading2"/>
      </w:pPr>
      <w:r>
        <w:rPr>
          <w:color w:val="2E5A88"/>
        </w:rPr>
        <w:t>Step 2 - wait_for_click</w:t>
      </w:r>
    </w:p>
    <w:p>
      <w:r>
        <w:rPr>
          <w:b w:val="0"/>
          <w:i w:val="0"/>
        </w:rPr>
        <w:t>OnChartEvent() listens for button click events</w:t>
      </w:r>
    </w:p>
    <w:p>
      <w:pPr>
        <w:pStyle w:val="Heading2"/>
      </w:pPr>
      <w:r>
        <w:rPr>
          <w:color w:val="2E5A88"/>
        </w:rPr>
        <w:t>Step 3 - route_event</w:t>
      </w:r>
    </w:p>
    <w:p>
      <w:r>
        <w:rPr>
          <w:b w:val="0"/>
          <w:i w:val="0"/>
        </w:rPr>
        <w:t>Match button name to analysis method: 'btnHighLow' → PerformHighLowAnalysis()</w:t>
      </w:r>
    </w:p>
    <w:p>
      <w:pPr>
        <w:pStyle w:val="ListBullet"/>
        <w:ind w:left="360"/>
      </w:pPr>
      <w:r>
        <w:t>btnHighLow: PerformHighLowAnalysis()</w:t>
      </w:r>
    </w:p>
    <w:p>
      <w:pPr>
        <w:pStyle w:val="ListBullet"/>
        <w:ind w:left="360"/>
      </w:pPr>
      <w:r>
        <w:t>btnVolume: PerformVolumeAnalysis()</w:t>
      </w:r>
    </w:p>
    <w:p>
      <w:pPr>
        <w:pStyle w:val="ListBullet"/>
        <w:ind w:left="360"/>
      </w:pPr>
      <w:r>
        <w:t>btnTrend: PerformTrendAnalysis()</w:t>
      </w:r>
    </w:p>
    <w:p>
      <w:pPr>
        <w:pStyle w:val="ListBullet"/>
        <w:ind w:left="360"/>
      </w:pPr>
      <w:r>
        <w:t>btnVolatility: PerformVolatilityAnalysis()</w:t>
      </w:r>
    </w:p>
    <w:p>
      <w:pPr>
        <w:pStyle w:val="ListBullet"/>
        <w:ind w:left="360"/>
      </w:pPr>
      <w:r>
        <w:t>btnMA: PerformMovingAverageAnalysis()</w:t>
      </w:r>
    </w:p>
    <w:p>
      <w:pPr>
        <w:pStyle w:val="ListBullet"/>
        <w:ind w:left="360"/>
      </w:pPr>
      <w:r>
        <w:t>btnSR: PerformSRAnalysis()</w:t>
      </w:r>
    </w:p>
    <w:p>
      <w:pPr>
        <w:pStyle w:val="ListBullet"/>
        <w:ind w:left="360"/>
      </w:pPr>
      <w:r>
        <w:t>btnClose: Destroy()</w:t>
      </w:r>
    </w:p>
    <w:p>
      <w:pPr>
        <w:pStyle w:val="Heading2"/>
      </w:pPr>
      <w:r>
        <w:rPr>
          <w:color w:val="2E5A88"/>
        </w:rPr>
        <w:t>Step 4 - fetch_and_display</w:t>
      </w:r>
    </w:p>
    <w:p>
      <w:r>
        <w:rPr>
          <w:b w:val="0"/>
          <w:i w:val="0"/>
        </w:rPr>
        <w:t>Each analysis method fetches data and updates results label</w:t>
      </w:r>
    </w:p>
    <w:p/>
    <w:p>
      <w:pPr>
        <w:pStyle w:val="Heading1"/>
      </w:pPr>
      <w:r>
        <w:rPr>
          <w:color w:val="1F3964"/>
        </w:rPr>
        <w:t>6. Outputs</w:t>
      </w:r>
    </w:p>
    <w:p/>
    <w:p>
      <w:pPr>
        <w:pStyle w:val="Heading1"/>
      </w:pPr>
      <w:r>
        <w:rPr>
          <w:color w:val="1F3964"/>
        </w:rPr>
        <w:t>7. What to Keep, Discard, and Improve</w:t>
      </w:r>
    </w:p>
    <w:p>
      <w:pPr>
        <w:pStyle w:val="Heading2"/>
      </w:pPr>
      <w:r>
        <w:rPr>
          <w:color w:val="2E5A88"/>
        </w:rPr>
        <w:t>KEEP</w:t>
      </w:r>
    </w:p>
    <w:p>
      <w:pPr>
        <w:pStyle w:val="ListBullet"/>
        <w:ind w:left="360"/>
      </w:pPr>
      <w:r>
        <w:t>The 6 metric categories — these are the fundamental on-chart data points every trader needs</w:t>
      </w:r>
    </w:p>
    <w:p>
      <w:pPr>
        <w:pStyle w:val="ListBullet"/>
        <w:ind w:left="360"/>
      </w:pPr>
      <w:r>
        <w:t>MetricsSnapshot data contract — clean structured object, reusable across many tools</w:t>
      </w:r>
    </w:p>
    <w:p>
      <w:pPr>
        <w:pStyle w:val="ListBullet"/>
        <w:ind w:left="360"/>
      </w:pPr>
      <w:r>
        <w:t>On-demand retrieval pattern — fetch when needed, not on every tick</w:t>
      </w:r>
    </w:p>
    <w:p>
      <w:pPr>
        <w:pStyle w:val="ListBullet"/>
        <w:ind w:left="360"/>
      </w:pPr>
      <w:r>
        <w:t>Previous bar H/L as S/R — same as Parts 1-2, validates this as standard practice</w:t>
      </w:r>
    </w:p>
    <w:p>
      <w:pPr>
        <w:pStyle w:val="Heading2"/>
      </w:pPr>
      <w:r>
        <w:rPr>
          <w:color w:val="2E5A88"/>
        </w:rPr>
        <w:t>DISCARD</w:t>
      </w:r>
    </w:p>
    <w:p>
      <w:pPr>
        <w:pStyle w:val="ListBullet"/>
        <w:ind w:left="360"/>
      </w:pPr>
      <w:r>
        <w:t>CAppDialog / CButton MQL5 GUI framework — replaced by Python dashboard (Streamlit/Tkinter/web)</w:t>
      </w:r>
    </w:p>
    <w:p>
      <w:pPr>
        <w:pStyle w:val="ListBullet"/>
        <w:ind w:left="360"/>
      </w:pPr>
      <w:r>
        <w:t>H1 hardcoded timeframe — make configurable, support multiple TFs</w:t>
      </w:r>
    </w:p>
    <w:p>
      <w:pPr>
        <w:pStyle w:val="ListBullet"/>
        <w:ind w:left="360"/>
      </w:pPr>
      <w:r>
        <w:t>Button-click event model — replaced by REST endpoint or Python function call</w:t>
      </w:r>
    </w:p>
    <w:p>
      <w:pPr>
        <w:pStyle w:val="ListBullet"/>
        <w:ind w:left="360"/>
      </w:pPr>
      <w:r>
        <w:t>MQL5 iHigh(), iLow(), iVolume() calls — replaced by BrokerDataAdapter</w:t>
      </w:r>
    </w:p>
    <w:p>
      <w:pPr>
        <w:pStyle w:val="Heading2"/>
      </w:pPr>
      <w:r>
        <w:rPr>
          <w:color w:val="2E5A88"/>
        </w:rPr>
        <w:t>IMPROVE</w:t>
      </w:r>
    </w:p>
    <w:p>
      <w:pPr>
        <w:pStyle w:val="ListBullet"/>
        <w:ind w:left="360"/>
      </w:pPr>
      <w:r>
        <w:t>Add multi-symbol support — run MetricsCalculator across all symbols in one call</w:t>
      </w:r>
    </w:p>
    <w:p>
      <w:pPr>
        <w:pStyle w:val="ListBullet"/>
        <w:ind w:left="360"/>
      </w:pPr>
      <w:r>
        <w:t>Add historical comparison — current ATR vs 5-day average ATR</w:t>
      </w:r>
    </w:p>
    <w:p>
      <w:pPr>
        <w:pStyle w:val="ListBullet"/>
        <w:ind w:left="360"/>
      </w:pPr>
      <w:r>
        <w:t>Add timeframe selection — not just H1</w:t>
      </w:r>
    </w:p>
    <w:p>
      <w:pPr>
        <w:pStyle w:val="ListBullet"/>
        <w:ind w:left="360"/>
      </w:pPr>
      <w:r>
        <w:t>Add export to JSON/CSV for downstream tools</w:t>
      </w:r>
    </w:p>
    <w:p>
      <w:pPr>
        <w:pStyle w:val="ListBullet"/>
        <w:ind w:left="360"/>
      </w:pPr>
      <w:r>
        <w:t>Integrate with NotificationService — alert when ATR spikes or S/R breached</w:t>
      </w:r>
    </w:p>
    <w:p/>
    <w:p>
      <w:pPr>
        <w:pStyle w:val="Heading1"/>
      </w:pPr>
      <w:r>
        <w:rPr>
          <w:color w:val="1F3964"/>
        </w:rPr>
        <w:t>8. CreviaDeriv Superior Version - Design Decisions</w:t>
      </w:r>
    </w:p>
    <w:p>
      <w:r>
        <w:rPr>
          <w:b/>
          <w:i w:val="0"/>
        </w:rPr>
        <w:t>&gt;&gt; H1 As Macro Context:</w:t>
      </w:r>
    </w:p>
    <w:p>
      <w:r>
        <w:rPr>
          <w:b w:val="0"/>
          <w:i/>
        </w:rPr>
        <w:t>Using H1 for High/Low, Volume, and S/R matches our approach of using higher-timeframe context. H1 S/R (prev bar H/L) is functionally similar to our Zone boundaries from M15.</w:t>
      </w:r>
    </w:p>
    <w:p/>
    <w:p>
      <w:r>
        <w:rPr>
          <w:b/>
          <w:i w:val="0"/>
        </w:rPr>
        <w:t>&gt;&gt; Atr For Volatility:</w:t>
      </w:r>
    </w:p>
    <w:p>
      <w:r>
        <w:rPr>
          <w:b w:val="0"/>
          <w:i/>
        </w:rPr>
        <w:t>ATR(14) on H1 is the standard volatility metric. We use ATR(14) on M15 for SL floor calculation. Same tool, appropriate timeframe for the purpose.</w:t>
      </w:r>
    </w:p>
    <w:p/>
    <w:p>
      <w:r>
        <w:rPr>
          <w:b/>
          <w:i w:val="0"/>
        </w:rPr>
        <w:t>&gt;&gt; Sma 50 Trend Filter:</w:t>
      </w:r>
    </w:p>
    <w:p>
      <w:r>
        <w:rPr>
          <w:b w:val="0"/>
          <w:i/>
        </w:rPr>
        <w:t>50-period SMA on H1 for trend direction — similar to how we use market_structure (BULLISH/BEARISH) from StructureEngine. The SMA gives a simpler directional read.</w:t>
      </w:r>
    </w:p>
    <w:p/>
    <w:p>
      <w:pPr>
        <w:pStyle w:val="Heading2"/>
      </w:pPr>
      <w:r>
        <w:rPr>
          <w:color w:val="2E5A88"/>
        </w:rPr>
        <w:t>Our Improvement Blueprint</w:t>
      </w:r>
    </w:p>
    <w:p>
      <w:pPr>
        <w:pStyle w:val="ListBullet"/>
        <w:ind w:left="360"/>
      </w:pPr>
      <w:r>
        <w:t>1. Add multi-symbol support — run MetricsCalculator across all symbols in one call</w:t>
      </w:r>
    </w:p>
    <w:p>
      <w:pPr>
        <w:pStyle w:val="ListBullet"/>
        <w:ind w:left="360"/>
      </w:pPr>
      <w:r>
        <w:t>2. Add historical comparison — current ATR vs 5-day average ATR</w:t>
      </w:r>
    </w:p>
    <w:p>
      <w:pPr>
        <w:pStyle w:val="ListBullet"/>
        <w:ind w:left="360"/>
      </w:pPr>
      <w:r>
        <w:t>3. Add timeframe selection — not just H1</w:t>
      </w:r>
    </w:p>
    <w:p>
      <w:pPr>
        <w:pStyle w:val="ListBullet"/>
        <w:ind w:left="360"/>
      </w:pPr>
      <w:r>
        <w:t>4. Add export to JSON/CSV for downstream tools</w:t>
      </w:r>
    </w:p>
    <w:p>
      <w:pPr>
        <w:pStyle w:val="ListBullet"/>
        <w:ind w:left="360"/>
      </w:pPr>
      <w:r>
        <w:t>5. Integrate with NotificationService — alert when ATR spikes or S/R breached</w:t>
      </w:r>
    </w:p>
    <w:p/>
    <w:p>
      <w:pPr>
        <w:pStyle w:val="Heading1"/>
      </w:pPr>
      <w:r>
        <w:rPr>
          <w:color w:val="1F3964"/>
        </w:rPr>
        <w:t>9. Architecture Components to Build</w:t>
      </w:r>
    </w:p>
    <w:p>
      <w:pPr>
        <w:pStyle w:val="Heading2"/>
      </w:pPr>
      <w:r>
        <w:rPr>
          <w:color w:val="2E5A88"/>
        </w:rPr>
        <w:t>MetricsCalculator</w:t>
      </w:r>
    </w:p>
    <w:p>
      <w:pPr>
        <w:pStyle w:val="ListBullet"/>
        <w:ind w:left="360"/>
      </w:pPr>
      <w:r>
        <w:t>type: logic</w:t>
      </w:r>
    </w:p>
    <w:p>
      <w:pPr>
        <w:pStyle w:val="ListBullet"/>
        <w:ind w:left="360"/>
      </w:pPr>
      <w:r>
        <w:t>priority: 1</w:t>
      </w:r>
    </w:p>
    <w:p>
      <w:pPr>
        <w:pStyle w:val="ListBullet"/>
        <w:ind w:left="360"/>
      </w:pPr>
      <w:r>
        <w:t>contract: get_metrics(symbol, timeframe, config) -&gt; MetricsSnapshot</w:t>
      </w:r>
    </w:p>
    <w:p>
      <w:pPr>
        <w:pStyle w:val="ListBullet"/>
        <w:ind w:left="720"/>
      </w:pPr>
      <w:r>
        <w:t xml:space="preserve">  -&gt; get_high_low(symbol, tf) -&gt; (high, low)</w:t>
      </w:r>
    </w:p>
    <w:p>
      <w:pPr>
        <w:pStyle w:val="ListBullet"/>
        <w:ind w:left="720"/>
      </w:pPr>
      <w:r>
        <w:t xml:space="preserve">  -&gt; get_volume(symbol, tf) -&gt; volume</w:t>
      </w:r>
    </w:p>
    <w:p>
      <w:pPr>
        <w:pStyle w:val="ListBullet"/>
        <w:ind w:left="720"/>
      </w:pPr>
      <w:r>
        <w:t xml:space="preserve">  -&gt; get_ma(symbol, tf, period, source) -&gt; float</w:t>
      </w:r>
    </w:p>
    <w:p>
      <w:pPr>
        <w:pStyle w:val="ListBullet"/>
        <w:ind w:left="720"/>
      </w:pPr>
      <w:r>
        <w:t xml:space="preserve">  -&gt; get_atr(symbol, tf, period) -&gt; float</w:t>
      </w:r>
    </w:p>
    <w:p>
      <w:pPr>
        <w:pStyle w:val="ListBullet"/>
        <w:ind w:left="720"/>
      </w:pPr>
      <w:r>
        <w:t xml:space="preserve">  -&gt; get_support_resistance(symbol, tf) -&gt; (support, resistance)</w:t>
      </w:r>
    </w:p>
    <w:p/>
    <w:p>
      <w:pPr>
        <w:pStyle w:val="Heading1"/>
      </w:pPr>
      <w:r>
        <w:rPr>
          <w:color w:val="1F3964"/>
        </w:rPr>
        <w:t>10. Article Figures &amp; Key Insights</w:t>
      </w:r>
    </w:p>
    <w:p>
      <w:r>
        <w:rPr>
          <w:b/>
          <w:i w:val="0"/>
        </w:rPr>
        <w:t>Fig 1: EA Logic Summary Diagram</w:t>
      </w:r>
    </w:p>
    <w:p>
      <w:pPr>
        <w:pStyle w:val="ListBullet"/>
        <w:ind w:left="360"/>
      </w:pPr>
      <w:r>
        <w:t>URL: https://c.mql5.com/2/111/EA_Logic_.png</w:t>
      </w:r>
    </w:p>
    <w:p>
      <w:pPr>
        <w:pStyle w:val="ListBullet"/>
        <w:ind w:left="360"/>
      </w:pPr>
      <w:r>
        <w:t>Insight: Architecture diagram showing 6 analysis modules feeding the results panel. Clean separation of concerns.</w:t>
      </w:r>
    </w:p>
    <w:p>
      <w:r>
        <w:rPr>
          <w:b/>
          <w:i w:val="0"/>
        </w:rPr>
        <w:t>Fig 2: Library Inclusion GIF</w:t>
      </w:r>
    </w:p>
    <w:p>
      <w:pPr>
        <w:pStyle w:val="ListBullet"/>
        <w:ind w:left="360"/>
      </w:pPr>
      <w:r>
        <w:t>URL: https://c.mql5.com/2/111/Adding_MQL5_Libraries.gif</w:t>
      </w:r>
    </w:p>
    <w:p>
      <w:pPr>
        <w:pStyle w:val="ListBullet"/>
        <w:ind w:left="360"/>
      </w:pPr>
      <w:r>
        <w:t>Insight: Shows MQL5 StandardLibrary Dialog.mqh / Button.mqh includes needed for the UI. Irrelevant for Python but confirms MQL5 UI requires external libraries.</w:t>
      </w:r>
    </w:p>
    <w:p>
      <w:r>
        <w:rPr>
          <w:b/>
          <w:i w:val="0"/>
        </w:rPr>
        <w:t>Fig 3: Functionality Demonstration (GIF)</w:t>
      </w:r>
    </w:p>
    <w:p>
      <w:pPr>
        <w:pStyle w:val="ListBullet"/>
        <w:ind w:left="360"/>
      </w:pPr>
      <w:r>
        <w:t>URL: https://c.mql5.com/2/111/Outcomes.gif</w:t>
      </w:r>
    </w:p>
    <w:p>
      <w:pPr>
        <w:pStyle w:val="ListBullet"/>
        <w:ind w:left="360"/>
      </w:pPr>
      <w:r>
        <w:t>Insight: Animated panel showing each button click → result display cycle. Confirms on-demand model and result string format.</w:t>
      </w:r>
    </w:p>
    <w:p>
      <w:r>
        <w:rPr>
          <w:b/>
          <w:i w:val="0"/>
        </w:rPr>
        <w:t>Fig 4: Expert Log Output</w:t>
      </w:r>
    </w:p>
    <w:p>
      <w:pPr>
        <w:pStyle w:val="ListBullet"/>
        <w:ind w:left="360"/>
      </w:pPr>
      <w:r>
        <w:t>URL: https://c.mql5.com/2/111/logging.PNG.png</w:t>
      </w:r>
    </w:p>
    <w:p>
      <w:pPr>
        <w:pStyle w:val="ListBullet"/>
        <w:ind w:left="360"/>
      </w:pPr>
      <w:r>
        <w:t>Insight: Shows all button click events logged to MT5 Experts tab. Confirms logging pattern for debugging.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