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964"/>
          <w:sz w:val="36"/>
        </w:rPr>
        <w:t>LYNNCHRIS TOOLS CHEST</w:t>
      </w:r>
    </w:p>
    <w:p>
      <w:pPr>
        <w:jc w:val="center"/>
      </w:pPr>
      <w:r>
        <w:rPr>
          <w:b/>
          <w:sz w:val="24"/>
        </w:rPr>
        <w:t>Price Action Analysis Toolkit - Due Diligence Series</w:t>
      </w:r>
    </w:p>
    <w:p>
      <w:pPr>
        <w:jc w:val="center"/>
      </w:pPr>
      <w:r>
        <w:rPr>
          <w:b/>
          <w:sz w:val="24"/>
        </w:rPr>
        <w:t>PART 18 OF 65</w:t>
      </w:r>
    </w:p>
    <w:p>
      <w:pPr>
        <w:jc w:val="center"/>
      </w:pPr>
      <w:r>
        <w:rPr>
          <w:b/>
          <w:color w:val="1F3964"/>
          <w:sz w:val="32"/>
        </w:rPr>
        <w:t>INTRODUCING QUARTERS THEORY (III) — QUARTERS BOARD</w:t>
      </w:r>
    </w:p>
    <w:p>
      <w:pPr>
        <w:jc w:val="center"/>
      </w:pPr>
      <w:r>
        <w:rPr>
          <w:i/>
        </w:rPr>
        <w:t>Interactive Button-Controlled Quarter Level Management with Real-Time Trend Classification</w:t>
      </w:r>
    </w:p>
    <w:p/>
    <w:p>
      <w:pPr>
        <w:pStyle w:val="Heading1"/>
      </w:pPr>
      <w:r>
        <w:rPr>
          <w:color w:val="1F3964"/>
        </w:rPr>
        <w:t>1. What Is Introducing Quarters Theory (III) — Quarters Board?</w:t>
      </w:r>
    </w:p>
    <w:p>
      <w:r>
        <w:rPr>
          <w:b/>
          <w:i w:val="0"/>
        </w:rPr>
        <w:t>Verdict: LOW EXTRACT — UI/button management has no relevance to Python pipeline. One useful addition: SMA(50) trend classification added to the quarter level display. Quarters Theory trilogy complete; architecture fully understood after Parts 15-16.</w:t>
      </w:r>
    </w:p>
    <w:p>
      <w:r>
        <w:rPr>
          <w:b w:val="0"/>
          <w:i w:val="0"/>
        </w:rPr>
        <w:t>Type: Expert Advisor (UI Tool)  |  Category: ui_management_tool  |  Published: 2025-04</w:t>
      </w:r>
    </w:p>
    <w:p>
      <w:r>
        <w:rPr>
          <w:b w:val="0"/>
          <w:i/>
        </w:rPr>
        <w:t>URL: https://www.mql5.com/en/articles/17442</w:t>
      </w:r>
    </w:p>
    <w:p/>
    <w:p>
      <w:pPr>
        <w:pStyle w:val="Heading1"/>
      </w:pPr>
      <w:r>
        <w:rPr>
          <w:color w:val="1F3964"/>
        </w:rPr>
        <w:t>2. Core Trading Concept</w:t>
      </w:r>
    </w:p>
    <w:p>
      <w:r>
        <w:rPr>
          <w:b/>
          <w:i w:val="0"/>
        </w:rPr>
        <w:t>Interactive Quarters Board</w:t>
      </w:r>
    </w:p>
    <w:p>
      <w:r>
        <w:rPr>
          <w:b w:val="0"/>
          <w:i w:val="0"/>
        </w:rPr>
        <w:t>Extends Parts 15-16 with button-based chart controls. Toggles large quarters, small quarters, and overshoot zones on/off without editing source code. Adds SMA(50) trend classification (Uptrend/Downtrend/Sideways) alongside the quarter level display.</w:t>
      </w:r>
    </w:p>
    <w:p/>
    <w:p>
      <w:r>
        <w:rPr>
          <w:b/>
          <w:i w:val="0"/>
        </w:rPr>
        <w:t>Relevance to CreviaDeriv:</w:t>
      </w:r>
    </w:p>
    <w:p>
      <w:r>
        <w:rPr>
          <w:b w:val="0"/>
          <w:i/>
        </w:rPr>
        <w:t>Minimal. We don't use MQL5 chart objects. The SMA trend classification is already subsumed by our StructureEngine (market_structure = BULLISH/BEARISH/RANGING is strictly better than SMA comparison).</w:t>
      </w:r>
    </w:p>
    <w:p/>
    <w:p>
      <w:pPr>
        <w:pStyle w:val="Heading1"/>
      </w:pPr>
      <w:r>
        <w:rPr>
          <w:color w:val="1F3964"/>
        </w:rPr>
        <w:t>3. Data Requirements</w:t>
      </w:r>
    </w:p>
    <w:p/>
    <w:p>
      <w:pPr>
        <w:pStyle w:val="Heading1"/>
      </w:pPr>
      <w:r>
        <w:rPr>
          <w:color w:val="1F3964"/>
        </w:rPr>
        <w:t>4. Configuration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Default &amp; Description</w:t>
            </w:r>
          </w:p>
        </w:tc>
      </w:tr>
      <w:tr>
        <w:tc>
          <w:tcPr>
            <w:tcW w:type="dxa" w:w="4320"/>
          </w:tcPr>
          <w:p>
            <w:r>
              <w:t>MajorStep</w:t>
            </w:r>
          </w:p>
        </w:tc>
        <w:tc>
          <w:tcPr>
            <w:tcW w:type="dxa" w:w="4320"/>
          </w:tcPr>
          <w:p>
            <w:r>
              <w:t>default=0.1 | Base price interval</w:t>
            </w:r>
          </w:p>
        </w:tc>
      </w:tr>
      <w:tr>
        <w:tc>
          <w:tcPr>
            <w:tcW w:type="dxa" w:w="4320"/>
          </w:tcPr>
          <w:p>
            <w:r>
              <w:t>PanelX</w:t>
            </w:r>
          </w:p>
        </w:tc>
        <w:tc>
          <w:tcPr>
            <w:tcW w:type="dxa" w:w="4320"/>
          </w:tcPr>
          <w:p>
            <w:r>
              <w:t>default=10 | Panel position</w:t>
            </w:r>
          </w:p>
        </w:tc>
      </w:tr>
      <w:tr>
        <w:tc>
          <w:tcPr>
            <w:tcW w:type="dxa" w:w="4320"/>
          </w:tcPr>
          <w:p>
            <w:r>
              <w:t>PanelY</w:t>
            </w:r>
          </w:p>
        </w:tc>
        <w:tc>
          <w:tcPr>
            <w:tcW w:type="dxa" w:w="4320"/>
          </w:tcPr>
          <w:p>
            <w:r>
              <w:t>default=10 | Panel position</w:t>
            </w:r>
          </w:p>
        </w:tc>
      </w:tr>
      <w:tr>
        <w:tc>
          <w:tcPr>
            <w:tcW w:type="dxa" w:w="4320"/>
          </w:tcPr>
          <w:p>
            <w:r>
              <w:t>PanelWidth</w:t>
            </w:r>
          </w:p>
        </w:tc>
        <w:tc>
          <w:tcPr>
            <w:tcW w:type="dxa" w:w="4320"/>
          </w:tcPr>
          <w:p>
            <w:r>
              <w:t>default=250 | Panel width</w:t>
            </w:r>
          </w:p>
        </w:tc>
      </w:tr>
      <w:tr>
        <w:tc>
          <w:tcPr>
            <w:tcW w:type="dxa" w:w="4320"/>
          </w:tcPr>
          <w:p>
            <w:r>
              <w:t>ButtonHeight</w:t>
            </w:r>
          </w:p>
        </w:tc>
        <w:tc>
          <w:tcPr>
            <w:tcW w:type="dxa" w:w="4320"/>
          </w:tcPr>
          <w:p>
            <w:r>
              <w:t>default=30 | Button height</w:t>
            </w:r>
          </w:p>
        </w:tc>
      </w:tr>
      <w:tr>
        <w:tc>
          <w:tcPr>
            <w:tcW w:type="dxa" w:w="4320"/>
          </w:tcPr>
          <w:p>
            <w:r>
              <w:t>ButtonSpacing</w:t>
            </w:r>
          </w:p>
        </w:tc>
        <w:tc>
          <w:tcPr>
            <w:tcW w:type="dxa" w:w="4320"/>
          </w:tcPr>
          <w:p>
            <w:r>
              <w:t>default=5 | Gap between buttons</w:t>
            </w:r>
          </w:p>
        </w:tc>
      </w:tr>
    </w:tbl>
    <w:p/>
    <w:p>
      <w:pPr>
        <w:pStyle w:val="Heading1"/>
      </w:pPr>
      <w:r>
        <w:rPr>
          <w:color w:val="1F3964"/>
        </w:rPr>
        <w:t>5. Algorithm - Step by Step</w:t>
      </w:r>
    </w:p>
    <w:p/>
    <w:p>
      <w:pPr>
        <w:pStyle w:val="Heading1"/>
      </w:pPr>
      <w:r>
        <w:rPr>
          <w:color w:val="1F3964"/>
        </w:rPr>
        <w:t>6. Outputs</w:t>
      </w:r>
    </w:p>
    <w:p/>
    <w:p>
      <w:pPr>
        <w:pStyle w:val="Heading1"/>
      </w:pPr>
      <w:r>
        <w:rPr>
          <w:color w:val="1F3964"/>
        </w:rPr>
        <w:t>7. What to Keep, Discard, and Improve</w:t>
      </w:r>
    </w:p>
    <w:p>
      <w:pPr>
        <w:pStyle w:val="Heading2"/>
      </w:pPr>
      <w:r>
        <w:rPr>
          <w:color w:val="2E5A88"/>
        </w:rPr>
        <w:t>KEEP</w:t>
      </w:r>
    </w:p>
    <w:p>
      <w:pPr>
        <w:pStyle w:val="ListBullet"/>
        <w:ind w:left="360"/>
      </w:pPr>
      <w:r>
        <w:t>SMA(50) as a minimal trend filter — confirms direction for quarter level trade decisions</w:t>
      </w:r>
    </w:p>
    <w:p>
      <w:pPr>
        <w:pStyle w:val="ListBullet"/>
        <w:ind w:left="360"/>
      </w:pPr>
      <w:r>
        <w:t>Trend label alongside S/R levels — contextual framing for level interactions</w:t>
      </w:r>
    </w:p>
    <w:p>
      <w:pPr>
        <w:pStyle w:val="Heading2"/>
      </w:pPr>
      <w:r>
        <w:rPr>
          <w:color w:val="2E5A88"/>
        </w:rPr>
        <w:t>DISCARD</w:t>
      </w:r>
    </w:p>
    <w:p>
      <w:pPr>
        <w:pStyle w:val="ListBullet"/>
        <w:ind w:left="360"/>
      </w:pPr>
      <w:r>
        <w:t>Interactive button UI — no relevance to Python pipeline</w:t>
      </w:r>
    </w:p>
    <w:p>
      <w:pPr>
        <w:pStyle w:val="ListBullet"/>
        <w:ind w:left="360"/>
      </w:pPr>
      <w:r>
        <w:t>All MQL5 chart object management</w:t>
      </w:r>
    </w:p>
    <w:p>
      <w:pPr>
        <w:pStyle w:val="ListBullet"/>
        <w:ind w:left="360"/>
      </w:pPr>
      <w:r>
        <w:t>SMA trend classification (use StructureEngine instead)</w:t>
      </w:r>
    </w:p>
    <w:p>
      <w:pPr>
        <w:pStyle w:val="Heading2"/>
      </w:pPr>
      <w:r>
        <w:rPr>
          <w:color w:val="2E5A88"/>
        </w:rPr>
        <w:t>IMPROVE</w:t>
      </w:r>
    </w:p>
    <w:p>
      <w:pPr>
        <w:pStyle w:val="ListBullet"/>
        <w:ind w:left="360"/>
      </w:pPr>
      <w:r>
        <w:t>Quarters trilogy is complete: combine Parts 15+16+18 into one QuarterLevelService class</w:t>
      </w:r>
    </w:p>
    <w:p>
      <w:pPr>
        <w:pStyle w:val="ListBullet"/>
        <w:ind w:left="360"/>
      </w:pPr>
      <w:r>
        <w:t>Replace SMA trend with StructureEngine market_structure for level context</w:t>
      </w:r>
    </w:p>
    <w:p/>
    <w:p>
      <w:pPr>
        <w:pStyle w:val="Heading1"/>
      </w:pPr>
      <w:r>
        <w:rPr>
          <w:color w:val="1F3964"/>
        </w:rPr>
        <w:t>8. CreviaDeriv Superior Version - Design Decisions</w:t>
      </w:r>
    </w:p>
    <w:p>
      <w:pPr>
        <w:pStyle w:val="Heading2"/>
      </w:pPr>
      <w:r>
        <w:rPr>
          <w:color w:val="2E5A88"/>
        </w:rPr>
        <w:t>Our Improvement Blueprint</w:t>
      </w:r>
    </w:p>
    <w:p>
      <w:pPr>
        <w:pStyle w:val="ListBullet"/>
        <w:ind w:left="360"/>
      </w:pPr>
      <w:r>
        <w:t>1. Quarters trilogy is complete: combine Parts 15+16+18 into one QuarterLevelService class</w:t>
      </w:r>
    </w:p>
    <w:p>
      <w:pPr>
        <w:pStyle w:val="ListBullet"/>
        <w:ind w:left="360"/>
      </w:pPr>
      <w:r>
        <w:t>2. Replace SMA trend with StructureEngine market_structure for level context</w:t>
      </w:r>
    </w:p>
    <w:p/>
    <w:p>
      <w:pPr>
        <w:pStyle w:val="Heading1"/>
      </w:pPr>
      <w:r>
        <w:rPr>
          <w:color w:val="1F3964"/>
        </w:rPr>
        <w:t>9. Architecture Components to Build</w:t>
      </w:r>
    </w:p>
    <w:p/>
    <w:p>
      <w:pPr>
        <w:pStyle w:val="Heading1"/>
      </w:pPr>
      <w:r>
        <w:rPr>
          <w:color w:val="1F3964"/>
        </w:rPr>
        <w:t>10. Article Figures &amp; Key Insights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