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3964"/>
          <w:sz w:val="36"/>
        </w:rPr>
        <w:t>LYNNCHRIS TOOLS CHEST</w:t>
      </w:r>
    </w:p>
    <w:p>
      <w:pPr>
        <w:jc w:val="center"/>
      </w:pPr>
      <w:r>
        <w:rPr>
          <w:b/>
          <w:sz w:val="24"/>
        </w:rPr>
        <w:t>Price Action Analysis Toolkit - Due Diligence Series</w:t>
      </w:r>
    </w:p>
    <w:p>
      <w:pPr>
        <w:jc w:val="center"/>
      </w:pPr>
      <w:r>
        <w:rPr>
          <w:b/>
          <w:sz w:val="24"/>
        </w:rPr>
        <w:t>PART 22 OF 65</w:t>
      </w:r>
    </w:p>
    <w:p>
      <w:pPr>
        <w:jc w:val="center"/>
      </w:pPr>
      <w:r>
        <w:rPr>
          <w:b/>
          <w:color w:val="1F3964"/>
          <w:sz w:val="32"/>
        </w:rPr>
        <w:t>CORRELATION DASHBOARD</w:t>
      </w:r>
    </w:p>
    <w:p>
      <w:pPr>
        <w:jc w:val="center"/>
      </w:pPr>
      <w:r>
        <w:rPr>
          <w:i/>
        </w:rPr>
        <w:t>Multi-Pair Pearson Correlation Matrix (21 Pairs, Heatmap, Returns-Based)</w:t>
      </w:r>
    </w:p>
    <w:p/>
    <w:p>
      <w:pPr>
        <w:pStyle w:val="Heading1"/>
      </w:pPr>
      <w:r>
        <w:rPr>
          <w:color w:val="1F3964"/>
        </w:rPr>
        <w:t>1. What Is Correlation Dashboard?</w:t>
      </w:r>
    </w:p>
    <w:p>
      <w:r>
        <w:rPr>
          <w:b/>
          <w:i w:val="0"/>
        </w:rPr>
        <w:t>Verdict: EXTRACT — multi-pair correlation matrix architecture, returns-based correlation (better than price-based), AlertThreshold config, color-coded heatmap. Extends Part 20 from 1-pair to N-pair matrix.</w:t>
      </w:r>
    </w:p>
    <w:p>
      <w:r>
        <w:rPr>
          <w:b w:val="0"/>
          <w:i w:val="0"/>
        </w:rPr>
        <w:t>Type: Expert Advisor (Dashboard)  |  Category: N/A  |  Published: 2025-06</w:t>
      </w:r>
    </w:p>
    <w:p>
      <w:r>
        <w:rPr>
          <w:b w:val="0"/>
          <w:i/>
        </w:rPr>
        <w:t>URL: https://www.mql5.com/en/articles/18052</w:t>
      </w:r>
    </w:p>
    <w:p/>
    <w:p>
      <w:pPr>
        <w:pStyle w:val="Heading1"/>
      </w:pPr>
      <w:r>
        <w:rPr>
          <w:color w:val="1F3964"/>
        </w:rPr>
        <w:t>2. Core Trading Concept</w:t>
      </w:r>
    </w:p>
    <w:p>
      <w:r>
        <w:rPr>
          <w:b/>
          <w:i w:val="0"/>
        </w:rPr>
        <w:t>Correlation Matrix Dashboard</w:t>
      </w:r>
    </w:p>
    <w:p>
      <w:r>
        <w:rPr>
          <w:b w:val="0"/>
          <w:i w:val="0"/>
        </w:rPr>
        <w:t>Compute Pearson correlation between ALL unique pairs of a configurable instrument list. Default 7 symbols → 21 unique pairs. Uses simple returns (% change bar-to-bar) rather than raw closing prices for stationarity. Displays as color-coded heatmap table (green=positive, red=negative, intensity=strength).</w:t>
      </w:r>
    </w:p>
    <w:p/>
    <w:p>
      <w:r>
        <w:rPr>
          <w:b/>
          <w:i w:val="0"/>
        </w:rPr>
        <w:t>Relevance to CreviaDeriv:</w:t>
      </w:r>
    </w:p>
    <w:p>
      <w:r>
        <w:rPr>
          <w:b w:val="0"/>
          <w:i/>
        </w:rPr>
        <w:t>Portfolio-level risk management. Before taking any new signal, compute correlation with all open positions using the returns-based method. Heatmap for monitoring dashboard.</w:t>
      </w:r>
    </w:p>
    <w:p/>
    <w:p>
      <w:pPr>
        <w:pStyle w:val="Heading1"/>
      </w:pPr>
      <w:r>
        <w:rPr>
          <w:color w:val="1F3964"/>
        </w:rPr>
        <w:t>3. Data Requirements</w:t>
      </w:r>
    </w:p>
    <w:p/>
    <w:p>
      <w:pPr>
        <w:pStyle w:val="Heading1"/>
      </w:pPr>
      <w:r>
        <w:rPr>
          <w:color w:val="1F3964"/>
        </w:rPr>
        <w:t>4. Configuration Parameters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4320"/>
          </w:tcPr>
          <w:p>
            <w:r>
              <w:rPr>
                <w:b/>
              </w:rPr>
              <w:t>Default &amp; Description</w:t>
            </w:r>
          </w:p>
        </w:tc>
      </w:tr>
      <w:tr>
        <w:tc>
          <w:tcPr>
            <w:tcW w:type="dxa" w:w="4320"/>
          </w:tcPr>
          <w:p>
            <w:r>
              <w:t>InstrumentsList</w:t>
            </w:r>
          </w:p>
        </w:tc>
        <w:tc>
          <w:tcPr>
            <w:tcW w:type="dxa" w:w="4320"/>
          </w:tcPr>
          <w:p>
            <w:r>
              <w:t>default=EURUSD,GBPUSD,USDJPY,USDCHF,AUDUSD,NZDUSD,XAUUSD | Comma-separated symbols for matrix</w:t>
            </w:r>
          </w:p>
        </w:tc>
      </w:tr>
      <w:tr>
        <w:tc>
          <w:tcPr>
            <w:tcW w:type="dxa" w:w="4320"/>
          </w:tcPr>
          <w:p>
            <w:r>
              <w:t>TimeFrame</w:t>
            </w:r>
          </w:p>
        </w:tc>
        <w:tc>
          <w:tcPr>
            <w:tcW w:type="dxa" w:w="4320"/>
          </w:tcPr>
          <w:p>
            <w:r>
              <w:t>default=H1 | Candle timeframe</w:t>
            </w:r>
          </w:p>
        </w:tc>
      </w:tr>
      <w:tr>
        <w:tc>
          <w:tcPr>
            <w:tcW w:type="dxa" w:w="4320"/>
          </w:tcPr>
          <w:p>
            <w:r>
              <w:t>LookbackBars</w:t>
            </w:r>
          </w:p>
        </w:tc>
        <w:tc>
          <w:tcPr>
            <w:tcW w:type="dxa" w:w="4320"/>
          </w:tcPr>
          <w:p>
            <w:r>
              <w:t>default=100 | Historical bars for correlation</w:t>
            </w:r>
          </w:p>
        </w:tc>
      </w:tr>
      <w:tr>
        <w:tc>
          <w:tcPr>
            <w:tcW w:type="dxa" w:w="4320"/>
          </w:tcPr>
          <w:p>
            <w:r>
              <w:t>AlertThreshold</w:t>
            </w:r>
          </w:p>
        </w:tc>
        <w:tc>
          <w:tcPr>
            <w:tcW w:type="dxa" w:w="4320"/>
          </w:tcPr>
          <w:p>
            <w:r>
              <w:t>default=0.8 | Threshold for high-correlation alert</w:t>
            </w:r>
          </w:p>
        </w:tc>
      </w:tr>
      <w:tr>
        <w:tc>
          <w:tcPr>
            <w:tcW w:type="dxa" w:w="4320"/>
          </w:tcPr>
          <w:p>
            <w:r>
              <w:t>UpdateSeconds</w:t>
            </w:r>
          </w:p>
        </w:tc>
        <w:tc>
          <w:tcPr>
            <w:tcW w:type="dxa" w:w="4320"/>
          </w:tcPr>
          <w:p>
            <w:r>
              <w:t>default=5 | Dashboard refresh interval</w:t>
            </w:r>
          </w:p>
        </w:tc>
      </w:tr>
    </w:tbl>
    <w:p/>
    <w:p>
      <w:pPr>
        <w:pStyle w:val="Heading1"/>
      </w:pPr>
      <w:r>
        <w:rPr>
          <w:color w:val="1F3964"/>
        </w:rPr>
        <w:t>5. Algorithm - Step by Step</w:t>
      </w:r>
    </w:p>
    <w:p/>
    <w:p>
      <w:pPr>
        <w:pStyle w:val="Heading1"/>
      </w:pPr>
      <w:r>
        <w:rPr>
          <w:color w:val="1F3964"/>
        </w:rPr>
        <w:t>6. Outputs</w:t>
      </w:r>
    </w:p>
    <w:p/>
    <w:p>
      <w:pPr>
        <w:pStyle w:val="Heading1"/>
      </w:pPr>
      <w:r>
        <w:rPr>
          <w:color w:val="1F3964"/>
        </w:rPr>
        <w:t>7. What to Keep, Discard, and Improve</w:t>
      </w:r>
    </w:p>
    <w:p>
      <w:pPr>
        <w:pStyle w:val="Heading2"/>
      </w:pPr>
      <w:r>
        <w:rPr>
          <w:color w:val="2E5A88"/>
        </w:rPr>
        <w:t>KEEP</w:t>
      </w:r>
    </w:p>
    <w:p>
      <w:pPr>
        <w:pStyle w:val="ListBullet"/>
        <w:ind w:left="360"/>
      </w:pPr>
      <w:r>
        <w:t>Returns-based correlation (not price-based) — methodologically correct</w:t>
      </w:r>
    </w:p>
    <w:p>
      <w:pPr>
        <w:pStyle w:val="ListBullet"/>
        <w:ind w:left="360"/>
      </w:pPr>
      <w:r>
        <w:t>Full N×N matrix architecture — portfolio-wide view</w:t>
      </w:r>
    </w:p>
    <w:p>
      <w:pPr>
        <w:pStyle w:val="ListBullet"/>
        <w:ind w:left="360"/>
      </w:pPr>
      <w:r>
        <w:t>AlertThreshold=0.8 for high-correlation warning</w:t>
      </w:r>
    </w:p>
    <w:p>
      <w:pPr>
        <w:pStyle w:val="ListBullet"/>
        <w:ind w:left="360"/>
      </w:pPr>
      <w:r>
        <w:t>LookbackBars=100 on H1 = ~4 trading days of correlation context</w:t>
      </w:r>
    </w:p>
    <w:p>
      <w:pPr>
        <w:pStyle w:val="Heading2"/>
      </w:pPr>
      <w:r>
        <w:rPr>
          <w:color w:val="2E5A88"/>
        </w:rPr>
        <w:t>DISCARD</w:t>
      </w:r>
    </w:p>
    <w:p>
      <w:pPr>
        <w:pStyle w:val="ListBullet"/>
        <w:ind w:left="360"/>
      </w:pPr>
      <w:r>
        <w:t>MQL5 chart heatmap rendering</w:t>
      </w:r>
    </w:p>
    <w:p>
      <w:pPr>
        <w:pStyle w:val="ListBullet"/>
        <w:ind w:left="360"/>
      </w:pPr>
      <w:r>
        <w:t>UpdateSeconds interval (Python runs on demand)</w:t>
      </w:r>
    </w:p>
    <w:p>
      <w:pPr>
        <w:pStyle w:val="Heading2"/>
      </w:pPr>
      <w:r>
        <w:rPr>
          <w:color w:val="2E5A88"/>
        </w:rPr>
        <w:t>IMPROVE</w:t>
      </w:r>
    </w:p>
    <w:p>
      <w:pPr>
        <w:pStyle w:val="ListBullet"/>
        <w:ind w:left="360"/>
      </w:pPr>
      <w:r>
        <w:t>Rolling window (50-bar) inside the 100-bar lookback to detect regime changes</w:t>
      </w:r>
    </w:p>
    <w:p>
      <w:pPr>
        <w:pStyle w:val="ListBullet"/>
        <w:ind w:left="360"/>
      </w:pPr>
      <w:r>
        <w:t>Matrix output to dict for programmatic access (not just visual)</w:t>
      </w:r>
    </w:p>
    <w:p>
      <w:pPr>
        <w:pStyle w:val="ListBullet"/>
        <w:ind w:left="360"/>
      </w:pPr>
      <w:r>
        <w:t>Correlation-adjusted position sizing: max_correlated_exposure = sum(positions weighted by |corr|)</w:t>
      </w:r>
    </w:p>
    <w:p/>
    <w:p>
      <w:pPr>
        <w:pStyle w:val="Heading1"/>
      </w:pPr>
      <w:r>
        <w:rPr>
          <w:color w:val="1F3964"/>
        </w:rPr>
        <w:t>8. CreviaDeriv Superior Version - Design Decisions</w:t>
      </w:r>
    </w:p>
    <w:p>
      <w:pPr>
        <w:pStyle w:val="Heading2"/>
      </w:pPr>
      <w:r>
        <w:rPr>
          <w:color w:val="2E5A88"/>
        </w:rPr>
        <w:t>Our Improvement Blueprint</w:t>
      </w:r>
    </w:p>
    <w:p>
      <w:pPr>
        <w:pStyle w:val="ListBullet"/>
        <w:ind w:left="360"/>
      </w:pPr>
      <w:r>
        <w:t>1. Rolling window (50-bar) inside the 100-bar lookback to detect regime changes</w:t>
      </w:r>
    </w:p>
    <w:p>
      <w:pPr>
        <w:pStyle w:val="ListBullet"/>
        <w:ind w:left="360"/>
      </w:pPr>
      <w:r>
        <w:t>2. Matrix output to dict for programmatic access (not just visual)</w:t>
      </w:r>
    </w:p>
    <w:p>
      <w:pPr>
        <w:pStyle w:val="ListBullet"/>
        <w:ind w:left="360"/>
      </w:pPr>
      <w:r>
        <w:t>3. Correlation-adjusted position sizing: max_correlated_exposure = sum(positions weighted by |corr|)</w:t>
      </w:r>
    </w:p>
    <w:p/>
    <w:p>
      <w:pPr>
        <w:pStyle w:val="Heading1"/>
      </w:pPr>
      <w:r>
        <w:rPr>
          <w:color w:val="1F3964"/>
        </w:rPr>
        <w:t>9. Architecture Components to Build</w:t>
      </w:r>
    </w:p>
    <w:p/>
    <w:p>
      <w:pPr>
        <w:pStyle w:val="Heading1"/>
      </w:pPr>
      <w:r>
        <w:rPr>
          <w:color w:val="1F3964"/>
        </w:rPr>
        <w:t>10. Article Figures &amp; Key Insights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