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964"/>
          <w:sz w:val="36"/>
        </w:rPr>
        <w:t>LYNNCHRIS TOOLS CHEST</w:t>
      </w:r>
    </w:p>
    <w:p>
      <w:pPr>
        <w:jc w:val="center"/>
      </w:pPr>
      <w:r>
        <w:rPr>
          <w:b/>
          <w:sz w:val="24"/>
        </w:rPr>
        <w:t>Price Action Analysis Toolkit - Due Diligence Series</w:t>
      </w:r>
    </w:p>
    <w:p>
      <w:pPr>
        <w:jc w:val="center"/>
      </w:pPr>
      <w:r>
        <w:rPr>
          <w:b/>
          <w:sz w:val="24"/>
        </w:rPr>
        <w:t>PART 36 OF 65</w:t>
      </w:r>
    </w:p>
    <w:p>
      <w:pPr>
        <w:jc w:val="center"/>
      </w:pPr>
      <w:r>
        <w:rPr>
          <w:b/>
          <w:color w:val="1F3964"/>
          <w:sz w:val="32"/>
        </w:rPr>
        <w:t>UNLOCKING DIRECT PYTHON ACCESS TO METATRADER 5 MARKET STREAMS</w:t>
      </w:r>
    </w:p>
    <w:p>
      <w:pPr>
        <w:jc w:val="center"/>
      </w:pPr>
      <w:r>
        <w:rPr>
          <w:i/>
        </w:rPr>
        <w:t>mt5.initialize() Connection, Parquet Storage, Incremental Bar Updates, 72.88% Win Rate Deployment</w:t>
      </w:r>
    </w:p>
    <w:p/>
    <w:p>
      <w:pPr>
        <w:pStyle w:val="Heading1"/>
      </w:pPr>
      <w:r>
        <w:rPr>
          <w:color w:val="1F3964"/>
        </w:rPr>
        <w:t>1. What Is Unlocking Direct Python Access to MetaTrader 5 Market Streams?</w:t>
      </w:r>
    </w:p>
    <w:p>
      <w:r>
        <w:rPr>
          <w:b/>
          <w:i w:val="0"/>
        </w:rPr>
        <w:t>Verdict: LOW-MEDIUM EXTRACT for us — we already use Python-native MT5 connection via our BrokerDataAdapter. The z_spike feature (first difference / 20-bar rolling std) and EMA envelope (EMA×0.997, EMA×1.003) are the new additions worth extracting.</w:t>
      </w:r>
    </w:p>
    <w:p>
      <w:r>
        <w:rPr>
          <w:b w:val="0"/>
          <w:i w:val="0"/>
        </w:rPr>
        <w:t>Type: Python + MT5 API  |  Category: N/A  |  Published: Unknown</w:t>
      </w:r>
    </w:p>
    <w:p>
      <w:r>
        <w:rPr>
          <w:b w:val="0"/>
          <w:i/>
        </w:rPr>
        <w:t>URL: https://www.mql5.com/en/articles/19065</w:t>
      </w:r>
    </w:p>
    <w:p/>
    <w:p>
      <w:pPr>
        <w:pStyle w:val="Heading1"/>
      </w:pPr>
      <w:r>
        <w:rPr>
          <w:color w:val="1F3964"/>
        </w:rPr>
        <w:t>2. Core Trading Concept</w:t>
      </w:r>
    </w:p>
    <w:p/>
    <w:p>
      <w:pPr>
        <w:pStyle w:val="Heading1"/>
      </w:pPr>
      <w:r>
        <w:rPr>
          <w:color w:val="1F3964"/>
        </w:rPr>
        <w:t>3. Data Requirements</w:t>
      </w:r>
    </w:p>
    <w:p/>
    <w:p>
      <w:pPr>
        <w:pStyle w:val="Heading1"/>
      </w:pPr>
      <w:r>
        <w:rPr>
          <w:color w:val="1F3964"/>
        </w:rPr>
        <w:t>4. Configuration Parameters</w:t>
      </w:r>
    </w:p>
    <w:p/>
    <w:p>
      <w:pPr>
        <w:pStyle w:val="Heading1"/>
      </w:pPr>
      <w:r>
        <w:rPr>
          <w:color w:val="1F3964"/>
        </w:rPr>
        <w:t>5. Algorithm - Step by Step</w:t>
      </w:r>
    </w:p>
    <w:p/>
    <w:p>
      <w:pPr>
        <w:pStyle w:val="Heading1"/>
      </w:pPr>
      <w:r>
        <w:rPr>
          <w:color w:val="1F3964"/>
        </w:rPr>
        <w:t>6. Outputs</w:t>
      </w:r>
    </w:p>
    <w:p/>
    <w:p>
      <w:pPr>
        <w:pStyle w:val="Heading1"/>
      </w:pPr>
      <w:r>
        <w:rPr>
          <w:color w:val="1F3964"/>
        </w:rPr>
        <w:t>7. What to Keep, Discard, and Improve</w:t>
      </w:r>
    </w:p>
    <w:p>
      <w:pPr>
        <w:pStyle w:val="Heading2"/>
      </w:pPr>
      <w:r>
        <w:rPr>
          <w:color w:val="2E5A88"/>
        </w:rPr>
        <w:t>KEEP</w:t>
      </w:r>
    </w:p>
    <w:p>
      <w:pPr>
        <w:pStyle w:val="ListBullet"/>
        <w:ind w:left="360"/>
      </w:pPr>
      <w:r>
        <w:t>z_spike: first difference normalized by 20-bar rolling std = standard normal score of price move</w:t>
      </w:r>
    </w:p>
    <w:p>
      <w:pPr>
        <w:pStyle w:val="ListBullet"/>
        <w:ind w:left="360"/>
      </w:pPr>
      <w:r>
        <w:t>EMA envelope bands: EMA ± 0.3% as dynamic S/R brackets</w:t>
      </w:r>
    </w:p>
    <w:p>
      <w:pPr>
        <w:pStyle w:val="ListBullet"/>
        <w:ind w:left="360"/>
      </w:pPr>
      <w:r>
        <w:t>Parquet + zstandard for efficient large bar history storage</w:t>
      </w:r>
    </w:p>
    <w:p>
      <w:pPr>
        <w:pStyle w:val="ListBullet"/>
        <w:ind w:left="360"/>
      </w:pPr>
      <w:r>
        <w:t>Incremental update pattern (deduplicate by timestamp)</w:t>
      </w:r>
    </w:p>
    <w:p>
      <w:pPr>
        <w:pStyle w:val="Heading2"/>
      </w:pPr>
      <w:r>
        <w:rPr>
          <w:color w:val="2E5A88"/>
        </w:rPr>
        <w:t>DISCARD</w:t>
      </w:r>
    </w:p>
    <w:p>
      <w:pPr>
        <w:pStyle w:val="ListBullet"/>
        <w:ind w:left="360"/>
      </w:pPr>
      <w:r>
        <w:t>MT5 connection setup — we already have BrokerDataAdapter</w:t>
      </w:r>
    </w:p>
    <w:p>
      <w:pPr>
        <w:pStyle w:val="ListBullet"/>
        <w:ind w:left="360"/>
      </w:pPr>
      <w:r>
        <w:t>Flask endpoint architecture</w:t>
      </w:r>
    </w:p>
    <w:p>
      <w:pPr>
        <w:pStyle w:val="Heading2"/>
      </w:pPr>
      <w:r>
        <w:rPr>
          <w:color w:val="2E5A88"/>
        </w:rPr>
        <w:t>IMPROVE</w:t>
      </w:r>
    </w:p>
    <w:p>
      <w:pPr>
        <w:pStyle w:val="ListBullet"/>
        <w:ind w:left="360"/>
      </w:pPr>
      <w:r>
        <w:t>z_spike is a normalized velocity measure — superior to our (close-open)/ATR for detecting extreme moves</w:t>
      </w:r>
    </w:p>
    <w:p>
      <w:pPr>
        <w:pStyle w:val="ListBullet"/>
        <w:ind w:left="360"/>
      </w:pPr>
      <w:r>
        <w:t>Add z_spike as VWV feature: z_spike &gt; 2.0 = significant move (2 standard deviations)</w:t>
      </w:r>
    </w:p>
    <w:p>
      <w:pPr>
        <w:pStyle w:val="ListBullet"/>
        <w:ind w:left="360"/>
      </w:pPr>
      <w:r>
        <w:t>EMA envelope could define micro-zones: price touching env_low = potential bounce level</w:t>
      </w:r>
    </w:p>
    <w:p/>
    <w:p>
      <w:pPr>
        <w:pStyle w:val="Heading1"/>
      </w:pPr>
      <w:r>
        <w:rPr>
          <w:color w:val="1F3964"/>
        </w:rPr>
        <w:t>8. CreviaDeriv Superior Version - Design Decisions</w:t>
      </w:r>
    </w:p>
    <w:p>
      <w:pPr>
        <w:pStyle w:val="Heading2"/>
      </w:pPr>
      <w:r>
        <w:rPr>
          <w:color w:val="2E5A88"/>
        </w:rPr>
        <w:t>Our Improvement Blueprint</w:t>
      </w:r>
    </w:p>
    <w:p>
      <w:pPr>
        <w:pStyle w:val="ListBullet"/>
        <w:ind w:left="360"/>
      </w:pPr>
      <w:r>
        <w:t>1. z_spike is a normalized velocity measure — superior to our (close-open)/ATR for detecting extreme moves</w:t>
      </w:r>
    </w:p>
    <w:p>
      <w:pPr>
        <w:pStyle w:val="ListBullet"/>
        <w:ind w:left="360"/>
      </w:pPr>
      <w:r>
        <w:t>2. Add z_spike as VWV feature: z_spike &gt; 2.0 = significant move (2 standard deviations)</w:t>
      </w:r>
    </w:p>
    <w:p>
      <w:pPr>
        <w:pStyle w:val="ListBullet"/>
        <w:ind w:left="360"/>
      </w:pPr>
      <w:r>
        <w:t>3. EMA envelope could define micro-zones: price touching env_low = potential bounce level</w:t>
      </w:r>
    </w:p>
    <w:p/>
    <w:p>
      <w:pPr>
        <w:pStyle w:val="Heading1"/>
      </w:pPr>
      <w:r>
        <w:rPr>
          <w:color w:val="1F3964"/>
        </w:rPr>
        <w:t>9. Architecture Components to Build</w:t>
      </w:r>
    </w:p>
    <w:p/>
    <w:p>
      <w:pPr>
        <w:pStyle w:val="Heading1"/>
      </w:pPr>
      <w:r>
        <w:rPr>
          <w:color w:val="1F3964"/>
        </w:rPr>
        <w:t>10. Article Figures &amp; Key Insights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