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41 OF 65</w:t>
      </w:r>
    </w:p>
    <w:p>
      <w:pPr>
        <w:jc w:val="center"/>
      </w:pPr>
      <w:r>
        <w:rPr>
          <w:b/>
          <w:color w:val="1F3964"/>
          <w:sz w:val="32"/>
        </w:rPr>
        <w:t>BUILDING A STATISTICAL PRICE-LEVEL EA IN MQL5</w:t>
      </w:r>
    </w:p>
    <w:p>
      <w:pPr>
        <w:jc w:val="center"/>
      </w:pPr>
      <w:r>
        <w:rPr>
          <w:i/>
        </w:rPr>
        <w:t>Z-Score Entry/Exit from TP Distribution — Mean/Median/Mode/SD/Percentiles</w:t>
      </w:r>
    </w:p>
    <w:p/>
    <w:p>
      <w:pPr>
        <w:pStyle w:val="Heading1"/>
      </w:pPr>
      <w:r>
        <w:rPr>
          <w:color w:val="1F3964"/>
        </w:rPr>
        <w:t>1. What Is Building a Statistical Price-Level EA in MQL5?</w:t>
      </w:r>
    </w:p>
    <w:p>
      <w:r>
        <w:rPr>
          <w:b/>
          <w:i w:val="0"/>
        </w:rPr>
        <w:t>Verdict: MEDIUM EXTRACT — z-score as entry trigger (price far from mean = reversal), P25/P75 interquartile as S/R zone, KDE for mode detection. More relevant for ranging markets than trending. Skewness/kurtosis as distribution quality metrics.</w:t>
      </w:r>
    </w:p>
    <w:p>
      <w:r>
        <w:rPr>
          <w:b w:val="0"/>
          <w:i w:val="0"/>
        </w:rPr>
        <w:t>Type: Expert Advisor  |  Category: N/A  |  Published: Unknown</w:t>
      </w:r>
    </w:p>
    <w:p>
      <w:r>
        <w:rPr>
          <w:b w:val="0"/>
          <w:i/>
        </w:rPr>
        <w:t>URL: https://www.mql5.com/en/articles/19589</w:t>
      </w:r>
    </w:p>
    <w:p/>
    <w:p>
      <w:pPr>
        <w:pStyle w:val="Heading1"/>
      </w:pPr>
      <w:r>
        <w:rPr>
          <w:color w:val="1F3964"/>
        </w:rPr>
        <w:t>2. Core Trading Concept</w:t>
      </w:r>
    </w:p>
    <w:p>
      <w:r>
        <w:rPr>
          <w:b/>
          <w:i w:val="0"/>
        </w:rPr>
      </w:r>
    </w:p>
    <w:p>
      <w:r>
        <w:rPr>
          <w:b w:val="0"/>
          <w:i w:val="0"/>
        </w:rPr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Lookback</w:t>
            </w:r>
          </w:p>
        </w:tc>
        <w:tc>
          <w:tcPr>
            <w:tcW w:type="dxa" w:w="4320"/>
          </w:tcPr>
          <w:p>
            <w:r>
              <w:t>default=1000 | Historical bars</w:t>
            </w:r>
          </w:p>
        </w:tc>
      </w:tr>
      <w:tr>
        <w:tc>
          <w:tcPr>
            <w:tcW w:type="dxa" w:w="4320"/>
          </w:tcPr>
          <w:p>
            <w:r>
              <w:t>ZScoreSignalEnter</w:t>
            </w:r>
          </w:p>
        </w:tc>
        <w:tc>
          <w:tcPr>
            <w:tcW w:type="dxa" w:w="4320"/>
          </w:tcPr>
          <w:p>
            <w:r>
              <w:t>default=2.0 | Entry threshold (2 SD from mean)</w:t>
            </w:r>
          </w:p>
        </w:tc>
      </w:tr>
      <w:tr>
        <w:tc>
          <w:tcPr>
            <w:tcW w:type="dxa" w:w="4320"/>
          </w:tcPr>
          <w:p>
            <w:r>
              <w:t>ZScoreSignalExit</w:t>
            </w:r>
          </w:p>
        </w:tc>
        <w:tc>
          <w:tcPr>
            <w:tcW w:type="dxa" w:w="4320"/>
          </w:tcPr>
          <w:p>
            <w:r>
              <w:t>default=0.8 | Exit threshold</w:t>
            </w:r>
          </w:p>
        </w:tc>
      </w:tr>
      <w:tr>
        <w:tc>
          <w:tcPr>
            <w:tcW w:type="dxa" w:w="4320"/>
          </w:tcPr>
          <w:p>
            <w:r>
              <w:t>TouchTolerancePips</w:t>
            </w:r>
          </w:p>
        </w:tc>
        <w:tc>
          <w:tcPr>
            <w:tcW w:type="dxa" w:w="4320"/>
          </w:tcPr>
          <w:p>
            <w:r>
              <w:t>default=3.0 | Proximity for level touch</w:t>
            </w:r>
          </w:p>
        </w:tc>
      </w:tr>
      <w:tr>
        <w:tc>
          <w:tcPr>
            <w:tcW w:type="dxa" w:w="4320"/>
          </w:tcPr>
          <w:p>
            <w:r>
              <w:t>UseATRforThresholds</w:t>
            </w:r>
          </w:p>
        </w:tc>
        <w:tc>
          <w:tcPr>
            <w:tcW w:type="dxa" w:w="4320"/>
          </w:tcPr>
          <w:p>
            <w:r>
              <w:t>default=True | ATR-scale touch tolerance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Z-score as deviation gate: z &gt; 2.0 = price far from mean = potential mean reversion</w:t>
      </w:r>
    </w:p>
    <w:p>
      <w:pPr>
        <w:pStyle w:val="ListBullet"/>
        <w:ind w:left="360"/>
      </w:pPr>
      <w:r>
        <w:t>P25/P75 as statistical S/R zone — value area concept</w:t>
      </w:r>
    </w:p>
    <w:p>
      <w:pPr>
        <w:pStyle w:val="ListBullet"/>
        <w:ind w:left="360"/>
      </w:pPr>
      <w:r>
        <w:t>KDE for mode detection (most common price) as fair value</w:t>
      </w:r>
    </w:p>
    <w:p>
      <w:pPr>
        <w:pStyle w:val="ListBullet"/>
        <w:ind w:left="360"/>
      </w:pPr>
      <w:r>
        <w:t>Skewness/kurtosis as distribution quality metrics (for instrument calibration)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Mean reversion strategy as primary — doesn't fit our trend-following approach</w:t>
      </w:r>
    </w:p>
    <w:p>
      <w:pPr>
        <w:pStyle w:val="ListBullet"/>
        <w:ind w:left="360"/>
      </w:pPr>
      <w:r>
        <w:t>Fixed pip tolerance (use ATR)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Use P25/P75 as zone boundaries for 'value area' — demand zone entering below P25, supply above P75</w:t>
      </w:r>
    </w:p>
    <w:p>
      <w:pPr>
        <w:pStyle w:val="ListBullet"/>
        <w:ind w:left="360"/>
      </w:pPr>
      <w:r>
        <w:t>Z-score &gt; 2.0 at our supply zone = double confirmation (statistical overextension + structural zone)</w:t>
      </w:r>
    </w:p>
    <w:p>
      <w:pPr>
        <w:pStyle w:val="ListBullet"/>
        <w:ind w:left="360"/>
      </w:pPr>
      <w:r>
        <w:t>Skewness: if skew &gt; 0, distribution biased upward — weight BUY signals heavier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Use P25/P75 as zone boundaries for 'value area' — demand zone entering below P25, supply above P75</w:t>
      </w:r>
    </w:p>
    <w:p>
      <w:pPr>
        <w:pStyle w:val="ListBullet"/>
        <w:ind w:left="360"/>
      </w:pPr>
      <w:r>
        <w:t>2. Z-score &gt; 2.0 at our supply zone = double confirmation (statistical overextension + structural zone)</w:t>
      </w:r>
    </w:p>
    <w:p>
      <w:pPr>
        <w:pStyle w:val="ListBullet"/>
        <w:ind w:left="360"/>
      </w:pPr>
      <w:r>
        <w:t>3. Skewness: if skew &gt; 0, distribution biased upward — weight BUY signals heavier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