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43 OF 65</w:t>
      </w:r>
    </w:p>
    <w:p>
      <w:pPr>
        <w:jc w:val="center"/>
      </w:pPr>
      <w:r>
        <w:rPr>
          <w:b/>
          <w:color w:val="1F3964"/>
          <w:sz w:val="32"/>
        </w:rPr>
        <w:t>CANDLESTICK PROBABILITY AND BREAKOUTS</w:t>
      </w:r>
    </w:p>
    <w:p>
      <w:pPr>
        <w:jc w:val="center"/>
      </w:pPr>
      <w:r>
        <w:rPr>
          <w:i/>
        </w:rPr>
        <w:t>Historical Win Rate Tracking per Pattern — Next-Bar, Within-N, and Breakout Probabilities</w:t>
      </w:r>
    </w:p>
    <w:p/>
    <w:p>
      <w:pPr>
        <w:pStyle w:val="Heading1"/>
      </w:pPr>
      <w:r>
        <w:rPr>
          <w:color w:val="1F3964"/>
        </w:rPr>
        <w:t>1. What Is Candlestick Probability and Breakouts?</w:t>
      </w:r>
    </w:p>
    <w:p>
      <w:r>
        <w:rPr>
          <w:b/>
          <w:i w:val="0"/>
        </w:rPr>
        <w:t>Verdict: HIGH EXTRACT — pattern win rate calculation framework directly applicable to scoring our departure candle patterns. Three probability metrics: next-bar, within-N, and breakout confirmation. Volume-weighted versions. LookAheadBars=5 for forward test.</w:t>
      </w:r>
    </w:p>
    <w:p>
      <w:r>
        <w:rPr>
          <w:b w:val="0"/>
          <w:i w:val="0"/>
        </w:rPr>
        <w:t>Type: Expert Advisor (Analysis)  |  Category: N/A  |  Published: Unknown</w:t>
      </w:r>
    </w:p>
    <w:p>
      <w:r>
        <w:rPr>
          <w:b w:val="0"/>
          <w:i/>
        </w:rPr>
        <w:t>URL: https://www.mql5.com/en/articles/19738</w:t>
      </w:r>
    </w:p>
    <w:p/>
    <w:p>
      <w:pPr>
        <w:pStyle w:val="Heading1"/>
      </w:pPr>
      <w:r>
        <w:rPr>
          <w:color w:val="1F3964"/>
        </w:rPr>
        <w:t>2. Core Trading Concept</w:t>
      </w:r>
    </w:p>
    <w:p/>
    <w:p>
      <w:pPr>
        <w:pStyle w:val="Heading1"/>
      </w:pPr>
      <w:r>
        <w:rPr>
          <w:color w:val="1F3964"/>
        </w:rPr>
        <w:t>3. Data Requirements</w:t>
      </w:r>
    </w:p>
    <w:p/>
    <w:p>
      <w:pPr>
        <w:pStyle w:val="Heading1"/>
      </w:pPr>
      <w:r>
        <w:rPr>
          <w:color w:val="1F3964"/>
        </w:rPr>
        <w:t>4. Configuration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&amp; Description</w:t>
            </w:r>
          </w:p>
        </w:tc>
      </w:tr>
      <w:tr>
        <w:tc>
          <w:tcPr>
            <w:tcW w:type="dxa" w:w="4320"/>
          </w:tcPr>
          <w:p>
            <w:r>
              <w:t>LookbackBars</w:t>
            </w:r>
          </w:p>
        </w:tc>
        <w:tc>
          <w:tcPr>
            <w:tcW w:type="dxa" w:w="4320"/>
          </w:tcPr>
          <w:p>
            <w:r>
              <w:t>default=2000 | Historical bars for probability calculation</w:t>
            </w:r>
          </w:p>
        </w:tc>
      </w:tr>
      <w:tr>
        <w:tc>
          <w:tcPr>
            <w:tcW w:type="dxa" w:w="4320"/>
          </w:tcPr>
          <w:p>
            <w:r>
              <w:t>LookAheadBars</w:t>
            </w:r>
          </w:p>
        </w:tc>
        <w:tc>
          <w:tcPr>
            <w:tcW w:type="dxa" w:w="4320"/>
          </w:tcPr>
          <w:p>
            <w:r>
              <w:t>default=5 | Forward window for follow-through</w:t>
            </w:r>
          </w:p>
        </w:tc>
      </w:tr>
      <w:tr>
        <w:tc>
          <w:tcPr>
            <w:tcW w:type="dxa" w:w="4320"/>
          </w:tcPr>
          <w:p>
            <w:r>
              <w:t>BreakoutPips</w:t>
            </w:r>
          </w:p>
        </w:tc>
        <w:tc>
          <w:tcPr>
            <w:tcW w:type="dxa" w:w="4320"/>
          </w:tcPr>
          <w:p>
            <w:r>
              <w:t>default=5 | Threshold for breakout confirmation</w:t>
            </w:r>
          </w:p>
        </w:tc>
      </w:tr>
      <w:tr>
        <w:tc>
          <w:tcPr>
            <w:tcW w:type="dxa" w:w="4320"/>
          </w:tcPr>
          <w:p>
            <w:r>
              <w:t>BreakoutConfirmBars</w:t>
            </w:r>
          </w:p>
        </w:tc>
        <w:tc>
          <w:tcPr>
            <w:tcW w:type="dxa" w:w="4320"/>
          </w:tcPr>
          <w:p>
            <w:r>
              <w:t>default=1 | Bars required for validation</w:t>
            </w:r>
          </w:p>
        </w:tc>
      </w:tr>
    </w:tbl>
    <w:p/>
    <w:p>
      <w:pPr>
        <w:pStyle w:val="Heading1"/>
      </w:pPr>
      <w:r>
        <w:rPr>
          <w:color w:val="1F3964"/>
        </w:rPr>
        <w:t>5. Algorithm - Step by Step</w:t>
      </w:r>
    </w:p>
    <w:p/>
    <w:p>
      <w:pPr>
        <w:pStyle w:val="Heading1"/>
      </w:pPr>
      <w:r>
        <w:rPr>
          <w:color w:val="1F3964"/>
        </w:rPr>
        <w:t>6. Outputs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>
      <w:pPr>
        <w:pStyle w:val="Heading2"/>
      </w:pPr>
      <w:r>
        <w:rPr>
          <w:color w:val="2E5A88"/>
        </w:rPr>
        <w:t>KEEP</w:t>
      </w:r>
    </w:p>
    <w:p>
      <w:pPr>
        <w:pStyle w:val="ListBullet"/>
        <w:ind w:left="360"/>
      </w:pPr>
      <w:r>
        <w:t>Three probability metrics (next-bar, within-N, breakout) — comprehensive pattern evaluation</w:t>
      </w:r>
    </w:p>
    <w:p>
      <w:pPr>
        <w:pStyle w:val="ListBullet"/>
        <w:ind w:left="360"/>
      </w:pPr>
      <w:r>
        <w:t>LookAheadBars=5 as forward test window</w:t>
      </w:r>
    </w:p>
    <w:p>
      <w:pPr>
        <w:pStyle w:val="ListBullet"/>
        <w:ind w:left="360"/>
      </w:pPr>
      <w:r>
        <w:t>Volume-weighted probabilities</w:t>
      </w:r>
    </w:p>
    <w:p>
      <w:pPr>
        <w:pStyle w:val="ListBullet"/>
        <w:ind w:left="360"/>
      </w:pPr>
      <w:r>
        <w:t>Pattern win rate as training data for ML classifier (Part 34/35)</w:t>
      </w:r>
    </w:p>
    <w:p>
      <w:pPr>
        <w:pStyle w:val="Heading2"/>
      </w:pPr>
      <w:r>
        <w:rPr>
          <w:color w:val="2E5A88"/>
        </w:rPr>
        <w:t>DISCARD</w:t>
      </w:r>
    </w:p>
    <w:p>
      <w:pPr>
        <w:pStyle w:val="ListBullet"/>
        <w:ind w:left="360"/>
      </w:pPr>
      <w:r>
        <w:t>Chart display</w:t>
      </w:r>
    </w:p>
    <w:p>
      <w:pPr>
        <w:pStyle w:val="ListBullet"/>
        <w:ind w:left="360"/>
      </w:pPr>
      <w:r>
        <w:t>Manual pattern catalog approach (use ta-lib from Part 32)</w:t>
      </w:r>
    </w:p>
    <w:p>
      <w:pPr>
        <w:pStyle w:val="Heading2"/>
      </w:pPr>
      <w:r>
        <w:rPr>
          <w:color w:val="2E5A88"/>
        </w:rPr>
        <w:t>IMPROVE</w:t>
      </w:r>
    </w:p>
    <w:p>
      <w:pPr>
        <w:pStyle w:val="ListBullet"/>
        <w:ind w:left="360"/>
      </w:pPr>
      <w:r>
        <w:t>Run pattern probability analysis per symbol at startup — cache results as part of MarketDNA (Part 40)</w:t>
      </w:r>
    </w:p>
    <w:p>
      <w:pPr>
        <w:pStyle w:val="ListBullet"/>
        <w:ind w:left="360"/>
      </w:pPr>
      <w:r>
        <w:t>Use pattern win rates to weight departure_strength: if pin bar has 72% next-bar win rate on this instrument, departure_strength = 3; if only 55%, = 1</w:t>
      </w:r>
    </w:p>
    <w:p>
      <w:pPr>
        <w:pStyle w:val="ListBullet"/>
        <w:ind w:left="360"/>
      </w:pPr>
      <w:r>
        <w:t>Calibrate LookAheadBars to match our TP1 distance in bars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>
      <w:pPr>
        <w:pStyle w:val="Heading2"/>
      </w:pPr>
      <w:r>
        <w:rPr>
          <w:color w:val="2E5A88"/>
        </w:rPr>
        <w:t>Our Improvement Blueprint</w:t>
      </w:r>
    </w:p>
    <w:p>
      <w:pPr>
        <w:pStyle w:val="ListBullet"/>
        <w:ind w:left="360"/>
      </w:pPr>
      <w:r>
        <w:t>1. Run pattern probability analysis per symbol at startup — cache results as part of MarketDNA (Part 40)</w:t>
      </w:r>
    </w:p>
    <w:p>
      <w:pPr>
        <w:pStyle w:val="ListBullet"/>
        <w:ind w:left="360"/>
      </w:pPr>
      <w:r>
        <w:t>2. Use pattern win rates to weight departure_strength: if pin bar has 72% next-bar win rate on this instrument, departure_strength = 3; if only 55%, = 1</w:t>
      </w:r>
    </w:p>
    <w:p>
      <w:pPr>
        <w:pStyle w:val="ListBullet"/>
        <w:ind w:left="360"/>
      </w:pPr>
      <w:r>
        <w:t>3. Calibrate LookAheadBars to match our TP1 distance in bars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