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49 OF 65</w:t>
      </w:r>
    </w:p>
    <w:p>
      <w:pPr>
        <w:jc w:val="center"/>
      </w:pPr>
      <w:r>
        <w:rPr>
          <w:b/>
          <w:color w:val="1F3964"/>
          <w:sz w:val="32"/>
        </w:rPr>
        <w:t>INTEGRATING TREND, MOMENTUM, AND VOLATILITY INDICATORS</w:t>
      </w:r>
    </w:p>
    <w:p/>
    <w:p>
      <w:pPr>
        <w:pStyle w:val="Heading1"/>
      </w:pPr>
      <w:r>
        <w:rPr>
          <w:color w:val="1F3964"/>
        </w:rPr>
        <w:t>1. What Is Integrating Trend, Momentum, and Volatility Indicators?</w:t>
      </w:r>
    </w:p>
    <w:p>
      <w:r>
        <w:rPr>
          <w:b/>
          <w:i w:val="0"/>
        </w:rPr>
        <w:t>Verdict: MEDIUM EXTRACT - 3-group weighted voting (Trend:3x, Momentum:2x, Volatility:1x). ADX threshold=25. RSI28 complement.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https://www.mql5.com/en/articles/20168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3-group weighted voting</w:t>
      </w:r>
    </w:p>
    <w:p>
      <w:pPr>
        <w:pStyle w:val="ListBullet"/>
        <w:ind w:left="360"/>
      </w:pPr>
      <w:r>
        <w:t>ADX=25 threshold consideration</w:t>
      </w:r>
    </w:p>
    <w:p>
      <w:pPr>
        <w:pStyle w:val="ListBullet"/>
        <w:ind w:left="360"/>
      </w:pPr>
      <w:r>
        <w:t>RSI28 as macro RSI complement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Volatility as directional vote (ATR/BB have no direction)</w:t>
      </w:r>
    </w:p>
    <w:p>
      <w:pPr>
        <w:pStyle w:val="ListBullet"/>
        <w:ind w:left="360"/>
      </w:pPr>
      <w:r>
        <w:t>EMA50/200 (use market_structure)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Separate filter votes from directional votes</w:t>
      </w:r>
    </w:p>
    <w:p>
      <w:pPr>
        <w:pStyle w:val="ListBullet"/>
        <w:ind w:left="360"/>
      </w:pPr>
      <w:r>
        <w:t>ADX threshold 22 as compromise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Separate filter votes from directional votes</w:t>
      </w:r>
    </w:p>
    <w:p>
      <w:pPr>
        <w:pStyle w:val="ListBullet"/>
        <w:ind w:left="360"/>
      </w:pPr>
      <w:r>
        <w:t>2. ADX threshold 22 as compromise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