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964"/>
          <w:sz w:val="36"/>
        </w:rPr>
        <w:t>LYNNCHRIS TOOLS CHEST</w:t>
      </w:r>
    </w:p>
    <w:p>
      <w:pPr>
        <w:jc w:val="center"/>
      </w:pPr>
      <w:r>
        <w:rPr>
          <w:b/>
          <w:sz w:val="24"/>
        </w:rPr>
        <w:t>Price Action Analysis Toolkit - Due Diligence Series</w:t>
      </w:r>
    </w:p>
    <w:p>
      <w:pPr>
        <w:jc w:val="center"/>
      </w:pPr>
      <w:r>
        <w:rPr>
          <w:b/>
          <w:sz w:val="24"/>
        </w:rPr>
        <w:t>PART 50 OF 65</w:t>
      </w:r>
    </w:p>
    <w:p>
      <w:pPr>
        <w:jc w:val="center"/>
      </w:pPr>
      <w:r>
        <w:rPr>
          <w:b/>
          <w:color w:val="1F3964"/>
          <w:sz w:val="32"/>
        </w:rPr>
        <w:t>DEVELOPING THE RVGI, CCI AND SMA CONFLUENCE ENGINE</w:t>
      </w:r>
    </w:p>
    <w:p/>
    <w:p>
      <w:pPr>
        <w:pStyle w:val="Heading1"/>
      </w:pPr>
      <w:r>
        <w:rPr>
          <w:color w:val="1F3964"/>
        </w:rPr>
        <w:t>1. What Is Developing the RVGI, CCI and SMA Confluence Engine?</w:t>
      </w:r>
    </w:p>
    <w:p>
      <w:r>
        <w:rPr>
          <w:b/>
          <w:i w:val="0"/>
        </w:rPr>
        <w:t>Verdict: MEDIUM EXTRACT - RVGI formula (4-bar weighted body/range ratio with smoothing), 3-layer confluence (SMA trend + CCI return from extreme + RVGI cross), ATR SL with 2-target TP.</w:t>
      </w:r>
    </w:p>
    <w:p>
      <w:r>
        <w:rPr>
          <w:b w:val="0"/>
          <w:i w:val="0"/>
        </w:rPr>
        <w:t>Type: ?  |  Category: N/A  |  Published: Unknown</w:t>
      </w:r>
    </w:p>
    <w:p>
      <w:r>
        <w:rPr>
          <w:b w:val="0"/>
          <w:i/>
        </w:rPr>
        <w:t>URL: https://www.mql5.com/en/articles/20262</w:t>
      </w:r>
    </w:p>
    <w:p/>
    <w:p>
      <w:pPr>
        <w:pStyle w:val="Heading1"/>
      </w:pPr>
      <w:r>
        <w:rPr>
          <w:color w:val="1F3964"/>
        </w:rPr>
        <w:t>2. Core Trading Concept</w:t>
      </w:r>
    </w:p>
    <w:p/>
    <w:p>
      <w:pPr>
        <w:pStyle w:val="Heading1"/>
      </w:pPr>
      <w:r>
        <w:rPr>
          <w:color w:val="1F3964"/>
        </w:rPr>
        <w:t>3. Data Requirements</w:t>
      </w:r>
    </w:p>
    <w:p/>
    <w:p>
      <w:pPr>
        <w:pStyle w:val="Heading1"/>
      </w:pPr>
      <w:r>
        <w:rPr>
          <w:color w:val="1F3964"/>
        </w:rPr>
        <w:t>4. Configuration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Default &amp; Description</w:t>
            </w:r>
          </w:p>
        </w:tc>
      </w:tr>
      <w:tr>
        <w:tc>
          <w:tcPr>
            <w:tcW w:type="dxa" w:w="4320"/>
          </w:tcPr>
          <w:p>
            <w:r>
              <w:t>InpSMA_Period</w:t>
            </w:r>
          </w:p>
        </w:tc>
        <w:tc>
          <w:tcPr>
            <w:tcW w:type="dxa" w:w="4320"/>
          </w:tcPr>
          <w:p>
            <w:r>
              <w:t>30</w:t>
            </w:r>
          </w:p>
        </w:tc>
      </w:tr>
      <w:tr>
        <w:tc>
          <w:tcPr>
            <w:tcW w:type="dxa" w:w="4320"/>
          </w:tcPr>
          <w:p>
            <w:r>
              <w:t>InpCCI_Period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InpRVI_Smooth</w:t>
            </w:r>
          </w:p>
        </w:tc>
        <w:tc>
          <w:tcPr>
            <w:tcW w:type="dxa" w:w="4320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InpATR_Multiplier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InpTarget1_ATR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InpTarget2_ATR</w:t>
            </w:r>
          </w:p>
        </w:tc>
        <w:tc>
          <w:tcPr>
            <w:tcW w:type="dxa" w:w="4320"/>
          </w:tcPr>
          <w:p>
            <w:r>
              <w:t>2.0</w:t>
            </w:r>
          </w:p>
        </w:tc>
      </w:tr>
    </w:tbl>
    <w:p/>
    <w:p>
      <w:pPr>
        <w:pStyle w:val="Heading1"/>
      </w:pPr>
      <w:r>
        <w:rPr>
          <w:color w:val="1F3964"/>
        </w:rPr>
        <w:t>5. Algorithm - Step by Step</w:t>
      </w:r>
    </w:p>
    <w:p/>
    <w:p>
      <w:pPr>
        <w:pStyle w:val="Heading1"/>
      </w:pPr>
      <w:r>
        <w:rPr>
          <w:color w:val="1F3964"/>
        </w:rPr>
        <w:t>6. Outputs</w:t>
      </w:r>
    </w:p>
    <w:p/>
    <w:p>
      <w:pPr>
        <w:pStyle w:val="Heading1"/>
      </w:pPr>
      <w:r>
        <w:rPr>
          <w:color w:val="1F3964"/>
        </w:rPr>
        <w:t>7. What to Keep, Discard, and Improve</w:t>
      </w:r>
    </w:p>
    <w:p>
      <w:pPr>
        <w:pStyle w:val="Heading2"/>
      </w:pPr>
      <w:r>
        <w:rPr>
          <w:color w:val="2E5A88"/>
        </w:rPr>
        <w:t>KEEP</w:t>
      </w:r>
    </w:p>
    <w:p>
      <w:pPr>
        <w:pStyle w:val="ListBullet"/>
        <w:ind w:left="360"/>
      </w:pPr>
      <w:r>
        <w:t>RVGI formula: weighted body/range ratio with 4-bar lookback</w:t>
      </w:r>
    </w:p>
    <w:p>
      <w:pPr>
        <w:pStyle w:val="ListBullet"/>
        <w:ind w:left="360"/>
      </w:pPr>
      <w:r>
        <w:t>3-layer confluence requiring all 3 simultaneously</w:t>
      </w:r>
    </w:p>
    <w:p>
      <w:pPr>
        <w:pStyle w:val="ListBullet"/>
        <w:ind w:left="360"/>
      </w:pPr>
      <w:r>
        <w:t>2-target TP: ATR*1.0 (P1) and ATR*2.0 (P2) validates our P1/P2 architecture</w:t>
      </w:r>
    </w:p>
    <w:p>
      <w:pPr>
        <w:pStyle w:val="Heading2"/>
      </w:pPr>
      <w:r>
        <w:rPr>
          <w:color w:val="2E5A88"/>
        </w:rPr>
        <w:t>DISCARD</w:t>
      </w:r>
    </w:p>
    <w:p>
      <w:pPr>
        <w:pStyle w:val="ListBullet"/>
        <w:ind w:left="360"/>
      </w:pPr>
      <w:r>
        <w:t>SMA(30) as trend filter (use market_structure)</w:t>
      </w:r>
    </w:p>
    <w:p>
      <w:pPr>
        <w:pStyle w:val="ListBullet"/>
        <w:ind w:left="360"/>
      </w:pPr>
      <w:r>
        <w:t>CCI crossing ±100 as entry gate (too slow for M1)</w:t>
      </w:r>
    </w:p>
    <w:p>
      <w:pPr>
        <w:pStyle w:val="Heading2"/>
      </w:pPr>
      <w:r>
        <w:rPr>
          <w:color w:val="2E5A88"/>
        </w:rPr>
        <w:t>IMPROVE</w:t>
      </w:r>
    </w:p>
    <w:p>
      <w:pPr>
        <w:pStyle w:val="ListBullet"/>
        <w:ind w:left="360"/>
      </w:pPr>
      <w:r>
        <w:t>RVGI as supplement to EMA3: RVGI crossing zero = momentum confirmation at zone</w:t>
      </w:r>
    </w:p>
    <w:p>
      <w:pPr>
        <w:pStyle w:val="ListBullet"/>
        <w:ind w:left="360"/>
      </w:pPr>
      <w:r>
        <w:t>Use RVGI main vs signal cross alongside our EMA3 cross for dual momentum confirmation</w:t>
      </w:r>
    </w:p>
    <w:p>
      <w:pPr>
        <w:pStyle w:val="ListBullet"/>
        <w:ind w:left="360"/>
      </w:pPr>
      <w:r>
        <w:t>TP1=ATR*1 and TP2=ATR*2 validates our partial close architecture</w:t>
      </w:r>
    </w:p>
    <w:p/>
    <w:p>
      <w:pPr>
        <w:pStyle w:val="Heading1"/>
      </w:pPr>
      <w:r>
        <w:rPr>
          <w:color w:val="1F3964"/>
        </w:rPr>
        <w:t>8. CreviaDeriv Superior Version - Design Decisions</w:t>
      </w:r>
    </w:p>
    <w:p>
      <w:pPr>
        <w:pStyle w:val="Heading2"/>
      </w:pPr>
      <w:r>
        <w:rPr>
          <w:color w:val="2E5A88"/>
        </w:rPr>
        <w:t>Our Improvement Blueprint</w:t>
      </w:r>
    </w:p>
    <w:p>
      <w:pPr>
        <w:pStyle w:val="ListBullet"/>
        <w:ind w:left="360"/>
      </w:pPr>
      <w:r>
        <w:t>1. RVGI as supplement to EMA3: RVGI crossing zero = momentum confirmation at zone</w:t>
      </w:r>
    </w:p>
    <w:p>
      <w:pPr>
        <w:pStyle w:val="ListBullet"/>
        <w:ind w:left="360"/>
      </w:pPr>
      <w:r>
        <w:t>2. Use RVGI main vs signal cross alongside our EMA3 cross for dual momentum confirmation</w:t>
      </w:r>
    </w:p>
    <w:p>
      <w:pPr>
        <w:pStyle w:val="ListBullet"/>
        <w:ind w:left="360"/>
      </w:pPr>
      <w:r>
        <w:t>3. TP1=ATR*1 and TP2=ATR*2 validates our partial close architecture</w:t>
      </w:r>
    </w:p>
    <w:p/>
    <w:p>
      <w:pPr>
        <w:pStyle w:val="Heading1"/>
      </w:pPr>
      <w:r>
        <w:rPr>
          <w:color w:val="1F3964"/>
        </w:rPr>
        <w:t>9. Architecture Components to Build</w:t>
      </w:r>
    </w:p>
    <w:p/>
    <w:p>
      <w:pPr>
        <w:pStyle w:val="Heading1"/>
      </w:pPr>
      <w:r>
        <w:rPr>
          <w:color w:val="1F3964"/>
        </w:rPr>
        <w:t>10. Article Figures &amp; Key Insights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