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53 OF 65</w:t>
      </w:r>
    </w:p>
    <w:p>
      <w:pPr>
        <w:jc w:val="center"/>
      </w:pPr>
      <w:r>
        <w:rPr>
          <w:b/>
          <w:color w:val="1F3964"/>
          <w:sz w:val="32"/>
        </w:rPr>
        <w:t>PATTERN DENSITY HEATMAP FOR S/R</w:t>
      </w:r>
    </w:p>
    <w:p/>
    <w:p>
      <w:pPr>
        <w:pStyle w:val="Heading1"/>
      </w:pPr>
      <w:r>
        <w:rPr>
          <w:color w:val="1F3964"/>
        </w:rPr>
        <w:t>1. What Is Pattern Density Heatmap for S/R?</w:t>
      </w:r>
    </w:p>
    <w:p>
      <w:r>
        <w:rPr>
          <w:b/>
          <w:i w:val="0"/>
        </w:rPr>
        <w:t>Verdict: HIGH - Bin-based density, recency decay exp(-age/half_life), HTF 1.4x multiplier, normalized zone score.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https://www.mql5.com/en/articles/20390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