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D63A32"/>
          <w:sz w:val="96"/>
          <w:szCs w:val="96"/>
        </w:rPr>
        <w:t xml:space="preserve">MCG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BRAND GUIDELINES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Direction Artistique — Document Référence V0</w:t>
      </w:r>
    </w:p>
    <w:p>
      <w:pPr>
        <w:pBdr>
          <w:top w:val="single" w:color="23262D" w:sz="2"/>
          <w:bottom w:val="single" w:color="23262D" w:sz="2"/>
        </w:pBdr>
        <w:spacing w:after="800" w:before="80"/>
        <w:jc w:val="center"/>
      </w:pPr>
      <w:r>
        <w:rPr>
          <w:rFonts w:ascii="Arial" w:cs="Arial" w:eastAsia="Arial" w:hAnsi="Arial"/>
          <w:color w:val="23262D"/>
          <w:sz w:val="20"/>
          <w:szCs w:val="20"/>
        </w:rPr>
        <w:t xml:space="preserve">CONFIDENTIEL — USAGE INTERNE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01 — ADN ARTISTIQUE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Positionnement exact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MCG est un TCG premium dark-modern centré sur la désirabilité d'objet, enrichi par une intelligence internet/crypto subtile, avec une forte présence retail collectible et une rareté exprimée par la matière, la hiérarchie et le rituel de reveal.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Ce que MCG 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produit collectible premium centré sur des cartes désirables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univers visuel ancré dans la culture crypto et internet — sans les clichés fatigués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TCG premium dark-modern, tactile, tendu entre objet physique et culture vivante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Ce que MCG n'est 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Dark premium retail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Internet-native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Collectible drama maîtrisé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Tension spéculative et structure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Fantasy TCG classique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Cyberpunk facile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Dashboard web3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Mobile game flashy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Émotion centrale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L'émotion centrale de MCG est la CONVOITISE — pas le "fun" cheap.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Excitation contrôlée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Prestige accessible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Tension d'ouverture de pack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Satisfaction de possession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Fierté de montrer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Impression de manipuler un objet qui a du poids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Les 4 tensions créatives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CRYPTO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Réseaux, signal, liquidité, rareté numérique, vitesse, statut, mécanismes de valeur. Pas les néons/hex génériques.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MEME CULTURE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Ironie subtile, clins d'œil intelligents, internet awareness, tonalité légèrement insolente — jamais bouffonne.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COLLECTIBLE / TCG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La colonne vertébrale. Hiérarchie ultra claire, matérialité crédible, sensation de vraie carte.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PREMIUM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Sobre, dense, assumé, précis, tactile, propre. Pas du luxe joaillerie, pas du corporate froid.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02 — PALETTE &amp; SYSTÈME COLORIEL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A. Couleurs primaires de marque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socle premium. Sans ces 4 couleurs comme base dominante, tout bascule dans le cheap.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0B0B0D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Obsidian Black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#0B0B0D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Noir riche principal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6181D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Carbon Grey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#16181D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Surface secondaire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3262D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Graphite Steel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#23262D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Bordures / UI structure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3F1EC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Bone White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#F3F1EC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Texte premium / contrastes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B. Couleurs de marque actives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duo identitaire — pas dix accents. Ces deux couleurs portent l'identité émotionnelle de MCG.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63A32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Signal Red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#D63A32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principal — émotion, drop, CTA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C89B3C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Electric Gold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#C89B3C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prestige — rareté, lumière, foil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rouge apporte l'énergie, le signal, l'urgence du drop. L'or apporte le prestige collectible. Ensemble, ils créent un langage plus singulier que le duo violet/cyan web3.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C. Couleurs secondaires utilitaires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À utiliser avec retenue — jamais comme accents principaux.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7A5C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Deep Emerald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#1F7A5C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Récompense / progression / owned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2E6BFF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Arc Blue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#2E6BFF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 / système / technique discret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0A43A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Amber Heat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#F0A43A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Anticipation / reveal / tease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D. Système de rareté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rareté ne s'exprime pas d'abord par la couleur pleine — mais par la matière + accents + lumière + détails de frame. Les couleurs ci-dessous sont des signatures, pas des fonds dominants.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7E8794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Common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#7E8794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Graphite + silver smoke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A39A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Uncommon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#4FA39A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Steel teal / cold mineral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3C6DF2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Rare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#3C6DF2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Arc blue refined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6E4CCF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Epic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#6E4CCF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Royal violet darkened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8A63E" w:val="clear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3262D"/>
                <w:sz w:val="20"/>
                <w:szCs w:val="20"/>
              </w:rPr>
              <w:t xml:space="preserve">Legendary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#D8A63E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Electric gold / heated amber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Mythic / Ultra Premium : base noire + spectral holo prism — jamais rainbow plein pot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E. Règles d'usage couleur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Utiliser Obsidian/Carbon comme fonds dominants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Réserver Signal Red aux CTA et moments de tension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Utiliser Electric Gold pour les éléments de prestige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Laisser respirer les accents — les isoler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Backgrounds violets ou cyan (trop web3)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Glassmorphism ou néons permanents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Multiplier les accents sur une même surface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Utiliser les couleurs de rareté en aplat principal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03 — TYPOGRAPHIE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Principes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typographie MCG doit être sobre, lisible, premium. Elle ne doit jamais être décorative au détriment de la lisibilité.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single" w:color="C89B3C" w:sz="3"/>
              <w:right w:val="none"/>
            </w:tcBorders>
            <w:shd w:fill="232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F1EC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C89B3C" w:sz="3"/>
              <w:right w:val="none"/>
            </w:tcBorders>
            <w:shd w:fill="232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F1EC"/>
                <w:sz w:val="20"/>
                <w:szCs w:val="20"/>
              </w:rPr>
              <w:t xml:space="preserve">FAMILLE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C89B3C" w:sz="3"/>
              <w:right w:val="none"/>
            </w:tcBorders>
            <w:shd w:fill="232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F1EC"/>
                <w:sz w:val="20"/>
                <w:szCs w:val="20"/>
              </w:rPr>
              <w:t xml:space="preserve">POIDS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C89B3C" w:sz="3"/>
              <w:right w:val="none"/>
            </w:tcBorders>
            <w:shd w:fill="2326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F1E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Titre / Brand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 / Barlow Condensed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Black / Heavy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Covers, headers majeurs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Heading UI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Inter / DM Sans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Bold 700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Titres de section, nav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Body texte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Inter / DM Sans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Descriptions, labels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Metadata / stats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Stats de carte, footer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Accent / badge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Regular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Badges de rareté, set codes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Règles typographiques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Utiliser des graisses contrastées pour la hiérarchie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Monospace pour toutes les données chiffrées et metadata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Majuscules pour labels courts et badges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Corps de texte systématiquement en Regular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Mélanger plus de 3 familles sur une surface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Italique en dehors des citations ou noms propres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Tailles trop proches qui cassent la hiérarchie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Texte décoratif illisible au petit format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04 — PILIERS VISUELS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Les 6 piliers structurants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Ces piliers doivent guider toutes les décisions créatives — de la carte à l'UI en passant par les assets marketing.</w:t>
      </w:r>
    </w:p>
    <w:p>
      <w:pPr>
        <w:spacing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01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PREMIUM COLLECTIBLE OBJECT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Tout commence par l'envie de posséder. Gros soin sur les silhouettes, hiérarchie simple, surfaces crédibles, sensation de finition. MCG vend d'abord un objet désiré.</w:t>
      </w:r>
    </w:p>
    <w:p>
      <w:pPr>
        <w:spacing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02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CONTROLLED DARKNESS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MCG est dark — jamais sale ni illisible. Fonds denses, contrastes nets, lumière utilisée comme accent. Noir riche, pas noir vide. Profondeur feutrée.</w:t>
      </w:r>
    </w:p>
    <w:p>
      <w:pPr>
        <w:spacing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03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RARITY AS EMOTIONAL DESIGN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rareté modifie la perception globale de l'objet — pas juste un badge. Variations de matériaux, de lumière, de rythme visuel. Moments de reveal différenciés.</w:t>
      </w:r>
    </w:p>
    <w:p>
      <w:pPr>
        <w:spacing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04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INTERNET-NATIVE INTELLIGENCE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L'univers sent internet et crypto sans en devenir une blague. Signes subtils, symboles détournés, détails culturels, naming intelligent. Les initiés sont récompensés.</w:t>
      </w:r>
    </w:p>
    <w:p>
      <w:pPr>
        <w:spacing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05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RETAIL TCG PRESENCE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produit peut mentalement exister en rayon. Faces avant fortes, branding clair, architectures visuelles simples, forte cohérence série/set/drop. Impact à distance.</w:t>
      </w:r>
    </w:p>
    <w:p>
      <w:pPr>
        <w:spacing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D63A32"/>
          <w:sz w:val="26"/>
          <w:szCs w:val="26"/>
        </w:rPr>
        <w:t xml:space="preserve">06 — </w:t>
      </w: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SYSTEMIC SCALABILITY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DA survit aux nouvelles cartes, séries, variants, éditions premium, physique, UI étendue. Vocabulaire formel stable. Raretés normalisées. Usage discipliné des accents.</w:t>
      </w:r>
    </w:p>
    <w:p>
      <w:pPr>
        <w:spacing w:before="60"/>
      </w:pP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05 — MATIÈRES &amp; FINITIONS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Principe fondateur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MCG doit sembler imprimé et fini — pas simplement rendu. Le langage matière est central car MCG vit sur la perception d'objet.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Matériaux perçus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single" w:color="23262D" w:sz="1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Carton premium laminé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La base mentale. Toujours référencer la sensation d'une vraie carte imprimée haut de gamme.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23262D" w:sz="1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Métal brossé discret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Bordures rares, plaques de stats, méta-infos premium, éléments UI haut niveau.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23262D" w:sz="1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Foil sélectif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Pas holo partout. Le foil doit être rare, localisé, précis. Sa rareté fait sa valeur.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23262D" w:sz="1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Encre dense + vernis spot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Impression réelle, contraste, matière, luxe produit. Effet d'impression tangible.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23262D" w:sz="1"/>
              <w:right w:val="none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Holo spectral contrôlé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23262D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Réservé aux tiers supérieurs uniquement. Jamais full rainbow agressif.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Textures autorisées / interdites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Grain papier très fin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Bruit quasi imperceptible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Micro-patterns géométriques réseau/token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Micro-lignes de sécurité type billet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Moiré subtil et emboss léger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Textures sci-fi visibles et grossières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Particules gratuites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Métal chrome cheap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Carbon fiber générique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Gros bruit sale / verre partout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Finitions par tier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Base : mat premium, contrastes contrôlés, profondeur sombre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Raretés hautes : spot UV, foil localisé, emboss sur icônes/nom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Ultra premium : micro-holo, edge lighting simulée, présence exceptionnelle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06 — DO / DON'T GLOBAUX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Éviter le web3 générique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Sous-texte crypto subtil (réseaux, signal)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Couleurs de chain en micro-détails discrets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Logique de rareté numérique sans show-off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Excès de dégradés violets/bleus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Glassmorphism partout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Néons permanents / grilles sci-fi gratuites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UI façon terminal/DEX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Logos de chains traités comme stickers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Éviter le gaming générique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Moments d'impact rares et calibrés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FX réservés aux reveals de raretés hautes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Composition sobre et forte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Explosions permanentes et FX partout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Surcharge d'icônes et fantasy automatique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Colorimétrie ultra saturée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Surfaces plastiques cheap</w:t>
            </w:r>
          </w:p>
        </w:tc>
      </w:tr>
    </w:tbl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Maintenir la qualité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Rituel et spectacle dans les moments forts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Objet au centre de chaque écran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A5C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Hiérarchie simple et lecture immédiate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Interface impeccable mais sans désir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Cartes trop clean / absence de tension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Tout brille / tout a un pattern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3A32"/>
                <w:sz w:val="22"/>
                <w:szCs w:val="22"/>
              </w:rPr>
              <w:t xml:space="preserve">✗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Excès de complexité visuelle simultanée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07 — VISION V0 / V1 / V2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V0 — Crédibilité &amp; Identité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Objectif : poser la crédibilité premium et l'identité collectible.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Marque : wordmark propre, palette de base, duo accent maître, typo système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Cartes : frame maître, structure définitive, hero zone forte, 3-4 raretés bien posées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Packs : booster principal, langage packaging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UI : home, packs, collection, reveal, battle — tous cohérents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Motion : ouverture de pack, reveal et rare highlight simples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V1 — Élévation Marque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Objectif : faire passer MCG de bon produit à vraie marque collectible.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Cartes : enrichissement matière, variants, backs premium, signatures de séries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Packs : box/display, seasonal drop language, premium wrapper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UI : binder view avancée, profile prestige, pages séries/sets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Motion : reveals plus riches, transitions produit signées, variations par rareté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: key visuals, drop announcements, social templates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V2 — Univers Complet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Objectif : faire de MCG un univers de collection complet, digital et physique.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Éditions spéciales, chase visuals, master set presentation, numbered editions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Adaptation print réaliste, finitions industrielles simulées puis réelles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Showroom de collection, set completion cérémoniel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Reveal premium multi-stage, signature cinematic de drop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2026-03-08T10:48:41.417Z</dcterms:created>
  <dcterms:modified xsi:type="dcterms:W3CDTF">2026-03-08T10:48:41.417Z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