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D63A32"/>
          <w:sz w:val="96"/>
          <w:szCs w:val="96"/>
        </w:rPr>
        <w:t xml:space="preserve">MCG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89B3C"/>
          <w:sz w:val="40"/>
          <w:szCs w:val="40"/>
        </w:rPr>
        <w:t xml:space="preserve">CARD SYSTEM SPECS</w:t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Architecture de carte — Raretés — Structure — DA Détaillée</w:t>
      </w:r>
    </w:p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01 — PHILOSOPHIE DE LA CARTE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 carte MCG est avant tout un objet collectible. Elle doit donner l'impression d'un objet TCG premium dark-modern, immédiatement lisible.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Règle fondamentale</w:t>
      </w:r>
    </w:p>
    <w:p>
      <w:pPr>
        <w:pBdr>
          <w:top w:val="single" w:color="C89B3C" w:sz="3"/>
          <w:bottom w:val="single" w:color="C89B3C" w:sz="3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F3F1EC"/>
          <w:sz w:val="26"/>
          <w:szCs w:val="26"/>
        </w:rPr>
        <w:t xml:space="preserve">« La carte doit rester un objet collectible avant d'être une fiche de données. »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Les 5 signatures visuelles immédiates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Une carte MCG doit être reconnaissable instantanément par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Une frame sobre, dense, sculptée — pas une bordure décorative saturée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Une hero zone forte qui domine l'objet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Un header produit (pas un header app) — nom fort, set discret, classe sobre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Une stat area compacte et crédible — lisible, intégrée, jamais flottante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Un footer méta très propre évoquant authenticité, collection, traçabilité</w:t>
      </w:r>
    </w:p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02 — ARCHITECTURE DE CARTE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Structure des zones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 carte MCG est structurée en 5 zones fonctionnelles. Chaque zone a un rôle précis et ne doit pas empiéter sur les autres.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3262D" w:sz="2"/>
              <w:left w:val="single" w:color="23262D" w:sz="2"/>
              <w:bottom w:val="single" w:color="23262D" w:sz="2"/>
              <w:right w:val="single" w:color="23262D" w:sz="2"/>
            </w:tcBorders>
            <w:shd w:fill="1A1A0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B3C"/>
                <w:sz w:val="22"/>
                <w:szCs w:val="22"/>
              </w:rPr>
              <w:t xml:space="preserve">HEADER</w:t>
            </w:r>
          </w:p>
        </w:tc>
        <w:tc>
          <w:tcPr>
            <w:tcW w:type="dxa" w:w="7160"/>
            <w:tcBorders>
              <w:top w:val="single" w:color="23262D" w:sz="2"/>
              <w:left w:val="single" w:color="23262D" w:sz="2"/>
              <w:bottom w:val="single" w:color="23262D" w:sz="2"/>
              <w:right w:val="single" w:color="23262D" w:sz="2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Nom de la carte / Sous-catégorie / Rareté / Set code</w:t>
            </w:r>
          </w:p>
        </w:tc>
      </w:tr>
      <w:tr>
        <w:tc>
          <w:tcPr>
            <w:tcW w:type="dxa" w:w="2200"/>
            <w:tcBorders>
              <w:top w:val="single" w:color="23262D" w:sz="2"/>
              <w:left w:val="single" w:color="23262D" w:sz="2"/>
              <w:bottom w:val="single" w:color="23262D" w:sz="2"/>
              <w:right w:val="single" w:color="23262D" w:sz="2"/>
            </w:tcBorders>
            <w:shd w:fill="0D0D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F1EC"/>
                <w:sz w:val="22"/>
                <w:szCs w:val="22"/>
              </w:rPr>
              <w:t xml:space="preserve">HERO ZONE</w:t>
            </w:r>
          </w:p>
        </w:tc>
        <w:tc>
          <w:tcPr>
            <w:tcW w:type="dxa" w:w="7160"/>
            <w:tcBorders>
              <w:top w:val="single" w:color="23262D" w:sz="2"/>
              <w:left w:val="single" w:color="23262D" w:sz="2"/>
              <w:bottom w:val="single" w:color="23262D" w:sz="2"/>
              <w:right w:val="single" w:color="23262D" w:sz="2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Art principal — zone dominante (50-60% de la carte)</w:t>
            </w:r>
          </w:p>
        </w:tc>
      </w:tr>
      <w:tr>
        <w:tc>
          <w:tcPr>
            <w:tcW w:type="dxa" w:w="2200"/>
            <w:tcBorders>
              <w:top w:val="single" w:color="23262D" w:sz="2"/>
              <w:left w:val="single" w:color="23262D" w:sz="2"/>
              <w:bottom w:val="single" w:color="23262D" w:sz="2"/>
              <w:right w:val="single" w:color="23262D" w:sz="2"/>
            </w:tcBorders>
            <w:shd w:fill="0D101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FF"/>
                <w:sz w:val="22"/>
                <w:szCs w:val="22"/>
              </w:rPr>
              <w:t xml:space="preserve">BANDES LATÉRALES</w:t>
            </w:r>
          </w:p>
        </w:tc>
        <w:tc>
          <w:tcPr>
            <w:tcW w:type="dxa" w:w="7160"/>
            <w:tcBorders>
              <w:top w:val="single" w:color="23262D" w:sz="2"/>
              <w:left w:val="single" w:color="23262D" w:sz="2"/>
              <w:bottom w:val="single" w:color="23262D" w:sz="2"/>
              <w:right w:val="single" w:color="23262D" w:sz="2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Chain/faction signature / Pattern discret / Rôle</w:t>
            </w:r>
          </w:p>
        </w:tc>
      </w:tr>
      <w:tr>
        <w:tc>
          <w:tcPr>
            <w:tcW w:type="dxa" w:w="2200"/>
            <w:tcBorders>
              <w:top w:val="single" w:color="23262D" w:sz="2"/>
              <w:left w:val="single" w:color="23262D" w:sz="2"/>
              <w:bottom w:val="single" w:color="23262D" w:sz="2"/>
              <w:right w:val="single" w:color="23262D" w:sz="2"/>
            </w:tcBorders>
            <w:shd w:fill="1A120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43A"/>
                <w:sz w:val="22"/>
                <w:szCs w:val="22"/>
              </w:rPr>
              <w:t xml:space="preserve">STAT PLATE</w:t>
            </w:r>
          </w:p>
        </w:tc>
        <w:tc>
          <w:tcPr>
            <w:tcW w:type="dxa" w:w="7160"/>
            <w:tcBorders>
              <w:top w:val="single" w:color="23262D" w:sz="2"/>
              <w:left w:val="single" w:color="23262D" w:sz="2"/>
              <w:bottom w:val="single" w:color="23262D" w:sz="2"/>
              <w:right w:val="single" w:color="23262D" w:sz="2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Max 5 stats — lecture claire / plaque technique premium</w:t>
            </w:r>
          </w:p>
        </w:tc>
      </w:tr>
      <w:tr>
        <w:tc>
          <w:tcPr>
            <w:tcW w:type="dxa" w:w="2200"/>
            <w:tcBorders>
              <w:top w:val="single" w:color="23262D" w:sz="2"/>
              <w:left w:val="single" w:color="23262D" w:sz="2"/>
              <w:bottom w:val="single" w:color="23262D" w:sz="2"/>
              <w:right w:val="single" w:color="23262D" w:sz="2"/>
            </w:tcBorders>
            <w:shd w:fill="1111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E8794"/>
                <w:sz w:val="22"/>
                <w:szCs w:val="22"/>
              </w:rPr>
              <w:t xml:space="preserve">FOOTER METADATA</w:t>
            </w:r>
          </w:p>
        </w:tc>
        <w:tc>
          <w:tcPr>
            <w:tcW w:type="dxa" w:w="7160"/>
            <w:tcBorders>
              <w:top w:val="single" w:color="23262D" w:sz="2"/>
              <w:left w:val="single" w:color="23262D" w:sz="2"/>
              <w:bottom w:val="single" w:color="23262D" w:sz="2"/>
              <w:right w:val="single" w:color="23262D" w:sz="2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N° de carte / Édition / Collection code / Supply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Spécifications de la Hero Zone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Dominante : occupe 50 à 60% de la surface totale de la carte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Cinématographique : lisible en petit, impact fort en grand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Peu d'overlay : l'art doit respirer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Style artwork : illustration / key visual premium — pas poster FX générique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Pas de surcharge VFX, pas de sci-fi cheap, pas d'abstractions molles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Spécifications du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ÉLÉMENT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POSITION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TYPO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TAILLE RELATIVE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Nom de la carte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Gauche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Bebas Neue / Barlow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Grande — dominant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Sous-catégorie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Sous le nom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Inter Regular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Petite — discrète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Badge de rareté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Droite / coin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Accent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Contenu, pas envahissant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Set code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Droite / bas header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Très petit — technique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Spécifications de la Stat Area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Maximum 5 stats visibles en façade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Traitement en plaque technique premium — pas un HUD mobile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Labels courts, chiffres lisibles, espacement aéré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Monospace systématique pour les valeurs chiffrées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Pas de pills flottantes — tout doit être intégré à la structure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Spécifications du Footer Metadata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 footer est le signe d'authenticité de la carte. Il doit évoquer collection, traçabilité, produit.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INFO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FORMAT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Numéro de carte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XXX/NNN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042/200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Édition / Set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Code alphanum.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MCG-S01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Collection code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Série + saison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GENESIS-A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Supply (si limité)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Chiffre pur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#0042 of 200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Signature artiste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Monospace fin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ART: XXXX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03 — SYSTÈME DE FRAME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Philosophie de la frame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 frame MCG doit être plus sobre que Pokémon, plus designée qu'un minimalisme pur, plus premium que techno-futuriste, plus collectible qu'une simple UI.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Caractéristiques structurelles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Cadre épais moyen — présence sans ostentation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Angles signés — géométrie propre, légèrement asymétrique pour casser le template banal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Double contour subtil — inner border raffinée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Inner shadow très fin — profondeur sans bevel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Zones d'inset pour matière — différences de texture visibles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Règles de frame par rareté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 frame évolue avec la rareté — c'est le premier signal visuel de valeur perçue.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60"/>
        <w:gridCol w:w="1600"/>
        <w:gridCol w:w="1600"/>
        <w:gridCol w:w="1600"/>
        <w:gridCol w:w="2000"/>
      </w:tblGrid>
      <w:tr>
        <w:tc>
          <w:tcPr>
            <w:tcW w:type="dxa" w:w="14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TIER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COULEUR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FRAME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FINITION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LUMIÈRE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ANIMATION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Common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#7E8794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Sobre / fine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Mat premium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Neutre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Entrée simple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Uncommon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#4FA39A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Double contour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Léger vernis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Cold steel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Slide-in propre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Rare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#3C6DF2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Inner border lumineuse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Spot UV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Blue pulse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Flip + lock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Epic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#6E4CCF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Frame enrichie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Foil localisé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Violet accent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Flip + glow court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Legendary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#D8A63E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Gold frame / sculptée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Foil gold + emboss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Gold warm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Reveal multi-step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Mythic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Spectral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Full custom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Holo spectral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Prism shift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Cinematic full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Ce que la frame doit éviter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7A5C" w:sz="2"/>
              <w:left w:val="single" w:color="1F7A5C" w:sz="2"/>
              <w:bottom w:val="single" w:color="1F7A5C" w:sz="2"/>
              <w:right w:val="single" w:color="1F7A5C" w:sz="2"/>
            </w:tcBorders>
            <w:shd w:fill="0D1F1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5C"/>
                <w:sz w:val="26"/>
                <w:szCs w:val="26"/>
              </w:rPr>
              <w:t xml:space="preserve">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Frame structurante et identifiable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Coins signés et cohérents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Variations subtiles par rareté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Intégration avec la hero zone</w:t>
            </w:r>
          </w:p>
        </w:tc>
        <w:tc>
          <w:tcPr>
            <w:tcW w:type="dxa" w:w="4680"/>
            <w:tcBorders>
              <w:top w:val="single" w:color="D63A32" w:sz="2"/>
              <w:left w:val="single" w:color="D63A32" w:sz="2"/>
              <w:bottom w:val="single" w:color="D63A32" w:sz="2"/>
              <w:right w:val="single" w:color="D63A32" w:sz="2"/>
            </w:tcBorders>
            <w:shd w:fill="1F0D0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3A32"/>
                <w:sz w:val="26"/>
                <w:szCs w:val="26"/>
              </w:rPr>
              <w:t xml:space="preserve">DON'T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Bordure décorative saturée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Ornements héroïc fantasy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Fortes différences de style entre cartes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Frame qui concurrence l'artwork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04 — SYSTÈME DE RARETÉ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Principe fondateur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 rareté ne doit pas être un petit badge. La rareté doit modifier la perception globale de l'objet. Elle s'exprime par la matière, la lumière, la densité de finition — le badge n'est que la confirmation.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Les 6 tiers de rareté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7E8794"/>
          <w:sz w:val="28"/>
          <w:szCs w:val="28"/>
        </w:rPr>
        <w:t>▌ COMMON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PALETTE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FINITION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Graphite + silver smoke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Mat premium, grain fin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La base solide. Sobre, lisible, qualitative malgré sa position. La majorité des cartes.</w:t>
            </w:r>
          </w:p>
        </w:tc>
      </w:tr>
    </w:tbl>
    <w:p>
      <w:pPr>
        <w:spacing w:before="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4FA39A"/>
          <w:sz w:val="28"/>
          <w:szCs w:val="28"/>
        </w:rPr>
        <w:t>▌ UNCOMMON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PALETTE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FINITION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Steel teal / cold mineral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Léger vernis spot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Premier signal de distinction. Frame légèrement enrichie, cold steel light.</w:t>
            </w:r>
          </w:p>
        </w:tc>
      </w:tr>
    </w:tbl>
    <w:p>
      <w:pPr>
        <w:spacing w:before="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3C6DF2"/>
          <w:sz w:val="28"/>
          <w:szCs w:val="28"/>
        </w:rPr>
        <w:t>▌ RARE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PALETTE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FINITION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Arc blue refined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Spot UV, inner border blue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Présence notable. Blue pulse sur reveal, flip + lock animation.</w:t>
            </w:r>
          </w:p>
        </w:tc>
      </w:tr>
    </w:tbl>
    <w:p>
      <w:pPr>
        <w:spacing w:before="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6E4CCF"/>
          <w:sz w:val="28"/>
          <w:szCs w:val="28"/>
        </w:rPr>
        <w:t>▌ EPIC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PALETTE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FINITION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Royal violet darkened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Foil localisé, emboss icône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Forte désirabilité. Foil subtil, violet accent, animation enrichie.</w:t>
            </w:r>
          </w:p>
        </w:tc>
      </w:tr>
    </w:tbl>
    <w:p>
      <w:pPr>
        <w:spacing w:before="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D8A63E"/>
          <w:sz w:val="28"/>
          <w:szCs w:val="28"/>
        </w:rPr>
        <w:t>▌ LEGENDARY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PALETTE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FINITION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Electric gold / amber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Foil gold, emboss name, gold frame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Objet de prestige. Frame sculptée gold, reveal multi-step, warm gold light.</w:t>
            </w:r>
          </w:p>
        </w:tc>
      </w:tr>
    </w:tbl>
    <w:p>
      <w:pPr>
        <w:spacing w:before="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F3F1EC"/>
          <w:sz w:val="28"/>
          <w:szCs w:val="28"/>
        </w:rPr>
        <w:t>▌ MYTHIC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PALETTE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FINITION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Spectral holo prism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Full custom, holo spectral</w:t>
            </w:r>
          </w:p>
        </w:tc>
        <w:tc>
          <w:tcPr>
            <w:tcW w:type="dxa" w:w="39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Niveau ultra. Full custom artwork, holo spectral contrôlé, reveal cinématique.</w:t>
            </w:r>
          </w:p>
        </w:tc>
      </w:tr>
    </w:tbl>
    <w:p>
      <w:pPr>
        <w:spacing w:before="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Règle d'or de la rareté</w:t>
      </w:r>
    </w:p>
    <w:p>
      <w:pPr>
        <w:pBdr>
          <w:top w:val="single" w:color="C89B3C" w:sz="3"/>
          <w:bottom w:val="single" w:color="C89B3C" w:sz="3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F3F1EC"/>
          <w:sz w:val="24"/>
          <w:szCs w:val="24"/>
        </w:rPr>
        <w:t xml:space="preserve">« La rareté modifie la matière avant de modifier la couleur. »</w:t>
      </w:r>
    </w:p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05 — FAMILLES DE CARTES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Base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Structure sobre et très lisible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Dark premium — hero art fort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Peu d'effets — la composition porte tout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Frame mat, double contour, inner shadow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Holo / Foil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Même structure que Base Cards — les fondamentaux ne changent pas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Finitions enrichies en couches additionnelles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Micro-prismatique contrôlée et localisée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Reflets sélectifs — jamais full coverage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Special Editions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Frame alternative (thématique set ou événement)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Pattern de série spécifique au set/saison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Signature visuelle événementielle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Conservation de la structure MCG — identité préservée malgré la variation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Ultra Premium / Chase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Base noire encore plus dense — profondeur maximale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Finitions rares et exceptionnelles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Détails spéciaux sur frame, nom, icône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Reveal distinctif — moment de possession exceptionnel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Sentiment d'objet unique même en digital</w:t>
      </w:r>
    </w:p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06 — BACKS DE CARTE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Philosophie du dos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 dos de carte doit être aussi premium que le recto. C'est la première surface visible lors de l'ouverture de pack. Il doit communiquer l'identité MCG avant même de voir l'artwork.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Éléments du dos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Logo MCG centré — présent, fort, non flashy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Pattern de fond subtil — réseau/token, grain fin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Colorimétrie Obsidian + accent Gold discret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Pas d'info gameplay — uniquement identité marque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Set code discret en footer si nécessaire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Variants 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7A5C" w:sz="2"/>
              <w:left w:val="single" w:color="1F7A5C" w:sz="2"/>
              <w:bottom w:val="single" w:color="1F7A5C" w:sz="2"/>
              <w:right w:val="single" w:color="1F7A5C" w:sz="2"/>
            </w:tcBorders>
            <w:shd w:fill="0D1F1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5C"/>
                <w:sz w:val="26"/>
                <w:szCs w:val="26"/>
              </w:rPr>
              <w:t xml:space="preserve">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Dos universel MCG standard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Dos de série (set-specific) avec signature visuelle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Dos premium pour éditions spéciales</w:t>
            </w:r>
          </w:p>
        </w:tc>
        <w:tc>
          <w:tcPr>
            <w:tcW w:type="dxa" w:w="4680"/>
            <w:tcBorders>
              <w:top w:val="single" w:color="D63A32" w:sz="2"/>
              <w:left w:val="single" w:color="D63A32" w:sz="2"/>
              <w:bottom w:val="single" w:color="D63A32" w:sz="2"/>
              <w:right w:val="single" w:color="D63A32" w:sz="2"/>
            </w:tcBorders>
            <w:shd w:fill="1F0D0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3A32"/>
                <w:sz w:val="26"/>
                <w:szCs w:val="26"/>
              </w:rPr>
              <w:t xml:space="preserve">DON'T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Dos trop détaillé / busy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Pattern reconnaissable qui spoile la rareté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Dos différent par carte standard (brise l'identité)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07 — ARTWORK GUIDELINES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Direction artistique des illustrations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Les artworks MCG doivent être cohérents dans leur ambiance sans être uniformes dans leur style. L'identité vient du cadrage, du contraste et de la lisibilité — pas du style unique.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Ton général des artworks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Cinématographique — composition forte, point de vue marqué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Premium mais accessible — pas d'abstraction incompréhensible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Ancré dans l'univers MCG (crypto/internet/réseau)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Lisible en miniature — impact immédiat à petite taille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Ce que les artworks évitent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7A5C" w:sz="2"/>
              <w:left w:val="single" w:color="1F7A5C" w:sz="2"/>
              <w:bottom w:val="single" w:color="1F7A5C" w:sz="2"/>
              <w:right w:val="single" w:color="1F7A5C" w:sz="2"/>
            </w:tcBorders>
            <w:shd w:fill="0D1F1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5C"/>
                <w:sz w:val="26"/>
                <w:szCs w:val="26"/>
              </w:rPr>
              <w:t xml:space="preserve">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Key visual premium clairement lisible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Composition forte avec sujet identifiable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Palette cohérente avec le tier de rareté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Émotion ou archétype fort</w:t>
            </w:r>
          </w:p>
        </w:tc>
        <w:tc>
          <w:tcPr>
            <w:tcW w:type="dxa" w:w="4680"/>
            <w:tcBorders>
              <w:top w:val="single" w:color="D63A32" w:sz="2"/>
              <w:left w:val="single" w:color="D63A32" w:sz="2"/>
              <w:bottom w:val="single" w:color="D63A32" w:sz="2"/>
              <w:right w:val="single" w:color="D63A32" w:sz="2"/>
            </w:tcBorders>
            <w:shd w:fill="1F0D0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3A32"/>
                <w:sz w:val="26"/>
                <w:szCs w:val="26"/>
              </w:rPr>
              <w:t xml:space="preserve">DON'T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Surcharge VFX / sci-fi cheap générique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Abstractions molles sans identité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Icônes crypto collées sans composition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Illustration dark fantasy médiévale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Stock photo évident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2026-03-08T10:50:39.107Z</dcterms:created>
  <dcterms:modified xsi:type="dcterms:W3CDTF">2026-03-08T10:50:39.108Z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