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Inter" w:cs="Inter" w:eastAsia="Inter" w:hAnsi="Inter"/>
          <w:b/>
          <w:bCs/>
          <w:color w:val="C4715A"/>
          <w:sz w:val="88"/>
          <w:szCs w:val="88"/>
        </w:rPr>
        <w:t xml:space="preserve">MCG</w:t>
      </w:r>
    </w:p>
    <w:p>
      <w:pPr>
        <w:spacing w:before="0" w:after="120"/>
      </w:pPr>
      <w:r>
        <w:rPr>
          <w:rFonts w:ascii="Inter" w:cs="Inter" w:eastAsia="Inter" w:hAnsi="Inter"/>
          <w:b/>
          <w:bCs/>
          <w:color w:val="B8C4CC"/>
          <w:sz w:val="32"/>
          <w:szCs w:val="32"/>
        </w:rPr>
        <w:t xml:space="preserve">MEME CARD GAME</w:t>
      </w:r>
    </w:p>
    <w:p>
      <w:pPr>
        <w:pBdr>
          <w:bottom w:val="single" w:color="C4715A" w:sz="6" w:space="8"/>
        </w:pBdr>
        <w:spacing w:before="0" w:after="60"/>
      </w:pPr>
      <w:r>
        <w:rPr>
          <w:rFonts w:ascii="Inter" w:cs="Inter" w:eastAsia="Inter" w:hAnsi="Inter"/>
          <w:b/>
          <w:bCs/>
          <w:color w:val="F5F3EE"/>
          <w:sz w:val="40"/>
          <w:szCs w:val="40"/>
        </w:rPr>
        <w:t xml:space="preserve">Card System Specs</w:t>
      </w:r>
    </w:p>
    <w:p>
      <w:pPr>
        <w:spacing w:before="60" w:after="40"/>
      </w:pPr>
      <w:r>
        <w:rPr>
          <w:rFonts w:ascii="Inter" w:cs="Inter" w:eastAsia="Inter" w:hAnsi="Inter"/>
          <w:i/>
          <w:iCs/>
          <w:color w:val="B8C4CC"/>
          <w:sz w:val="22"/>
          <w:szCs w:val="22"/>
        </w:rPr>
        <w:t xml:space="preserve">Architecture — Structure — Raretés — Illustration — Pipeline Dataset</w:t>
      </w:r>
    </w:p>
    <w:p>
      <w:pPr>
        <w:spacing w:before="0" w:after="400"/>
      </w:pPr>
      <w:r>
        <w:rPr>
          <w:rFonts w:ascii="Courier New" w:cs="Courier New" w:eastAsia="Courier New" w:hAnsi="Courier New"/>
          <w:color w:val="3D3D4E"/>
          <w:sz w:val="18"/>
          <w:szCs w:val="18"/>
        </w:rPr>
        <w:t xml:space="preserve">V2  ·  CONFIDENTIEL — USAGE INTERNE</w:t>
      </w:r>
    </w:p>
    <w:p>
      <w:pPr>
        <w:pBdr>
          <w:bottom w:val="single" w:color="C4715A" w:sz="8" w:space="8"/>
        </w:pBdr>
        <w:spacing w:before="600" w:after="200"/>
      </w:pPr>
      <w:r>
        <w:rPr>
          <w:rFonts w:ascii="Inter" w:cs="Inter" w:eastAsia="Inter" w:hAnsi="Inter"/>
          <w:b/>
          <w:bCs/>
          <w:color w:val="F5F3EE"/>
          <w:sz w:val="44"/>
          <w:szCs w:val="44"/>
        </w:rPr>
        <w:t xml:space="preserve">01 — PHILOSOPHIE DE LA CARTE</w:t>
      </w:r>
    </w:p>
    <w:p>
      <w:pPr>
        <w:spacing w:before="440" w:after="140"/>
      </w:pPr>
      <w:r>
        <w:rPr>
          <w:rFonts w:ascii="Inter" w:cs="Inter" w:eastAsia="Inter" w:hAnsi="Inter"/>
          <w:b/>
          <w:bCs/>
          <w:color w:val="C4715A"/>
          <w:sz w:val="30"/>
          <w:szCs w:val="30"/>
        </w:rPr>
        <w:t xml:space="preserve">L'image d'abord — avec du caractère et de l'énergie</w:t>
      </w:r>
    </w:p>
    <w:p>
      <w:pPr>
        <w:spacing w:before="60" w:after="80"/>
      </w:pPr>
      <w:r>
        <w:rPr>
          <w:rFonts w:ascii="Inter" w:cs="Inter" w:eastAsia="Inter" w:hAnsi="Inter"/>
          <w:color w:val="F5F3EE"/>
          <w:sz w:val="20"/>
          <w:szCs w:val="20"/>
        </w:rPr>
        <w:t xml:space="preserve">La carte MCG est avant tout une illustration expressive. Elle doit donner envie d'être regardée, retournée, gardée — parce que le dessin a du caractère, parce que la scène est mémorable, parce que le personnage existe vraiment. L'énergie TCG amplifie cela : la rareté crée le désir, le tirage crée l'excitation.</w:t>
      </w:r>
    </w:p>
    <w:p>
      <w:pPr>
        <w:pBdr>
          <w:bottom w:val="single" w:color="3D3D4E"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LES 4 SIGNATURES VISUELLES D'UNE CARTE MCG</w:t>
            </w:r>
          </w:p>
        </w:tc>
        <w:tc>
          <w:tcPr>
            <w:tcW w:type="dxa" w:w="2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
            </w:r>
          </w:p>
        </w:tc>
      </w:tr>
      <w:tr>
        <w:tc>
          <w:tcPr>
            <w:tcW w:type="dxa" w:w="7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Une hero zone illustrée expressive — dessin avec du caractère, couleurs vives, personnage présent</w:t>
            </w:r>
          </w:p>
        </w:tc>
        <w:tc>
          <w:tcPr>
            <w:tcW w:type="dxa" w:w="2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Toujours</w:t>
            </w:r>
          </w:p>
        </w:tc>
      </w:tr>
      <w:tr>
        <w:tc>
          <w:tcPr>
            <w:tcW w:type="dxa" w:w="7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Un frame sobre et discret qui soutient l'image sans la concurrencer</w:t>
            </w:r>
          </w:p>
        </w:tc>
        <w:tc>
          <w:tcPr>
            <w:tcW w:type="dxa" w:w="2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Toujours</w:t>
            </w:r>
          </w:p>
        </w:tc>
      </w:tr>
      <w:tr>
        <w:tc>
          <w:tcPr>
            <w:tcW w:type="dxa" w:w="7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Un header lisible — nom fort, rareté visible, set code discret</w:t>
            </w:r>
          </w:p>
        </w:tc>
        <w:tc>
          <w:tcPr>
            <w:tcW w:type="dxa" w:w="2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Toujours</w:t>
            </w:r>
          </w:p>
        </w:tc>
      </w:tr>
      <w:tr>
        <w:tc>
          <w:tcPr>
            <w:tcW w:type="dxa" w:w="7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Un footer d'authenticité — traçabilité collection, édition, signature</w:t>
            </w:r>
          </w:p>
        </w:tc>
        <w:tc>
          <w:tcPr>
            <w:tcW w:type="dxa" w:w="2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Toujours</w:t>
            </w:r>
          </w:p>
        </w:tc>
      </w:tr>
    </w:tbl>
    <w:p>
      <w:pPr>
        <w:shd w:fill="252540" w:val="clear"/>
        <w:spacing w:before="120" w:after="100"/>
      </w:pPr>
      <w:r>
        <w:rPr>
          <w:rFonts w:ascii="Inter" w:cs="Inter" w:eastAsia="Inter" w:hAnsi="Inter"/>
          <w:b/>
          <w:bCs/>
          <w:color w:val="C4715A"/>
          <w:sz w:val="19"/>
          <w:szCs w:val="19"/>
        </w:rPr>
        <w:t xml:space="preserve">RÈGLE ABSOLUE  </w:t>
      </w:r>
      <w:r>
        <w:rPr>
          <w:rFonts w:ascii="Inter" w:cs="Inter" w:eastAsia="Inter" w:hAnsi="Inter"/>
          <w:color w:val="F5F3EE"/>
          <w:sz w:val="19"/>
          <w:szCs w:val="19"/>
        </w:rPr>
        <w:t xml:space="preserve">La carte MCG n'affiche aucune stat, aucun chiffre de performance, aucune donnée de marché. Elle est un objet collectible — pas une fiche analytique.</w:t>
      </w:r>
    </w:p>
    <w:p>
      <w:pPr>
        <w:pBdr>
          <w:bottom w:val="single" w:color="C4715A" w:sz="8" w:space="8"/>
        </w:pBdr>
        <w:spacing w:before="600" w:after="200"/>
      </w:pPr>
      <w:r>
        <w:rPr>
          <w:rFonts w:ascii="Inter" w:cs="Inter" w:eastAsia="Inter" w:hAnsi="Inter"/>
          <w:b/>
          <w:bCs/>
          <w:color w:val="F5F3EE"/>
          <w:sz w:val="44"/>
          <w:szCs w:val="44"/>
        </w:rPr>
        <w:t xml:space="preserve">02 — ARCHITECTURE DE CARTE</w:t>
      </w:r>
    </w:p>
    <w:p>
      <w:pPr>
        <w:spacing w:before="440" w:after="140"/>
      </w:pPr>
      <w:r>
        <w:rPr>
          <w:rFonts w:ascii="Inter" w:cs="Inter" w:eastAsia="Inter" w:hAnsi="Inter"/>
          <w:b/>
          <w:bCs/>
          <w:color w:val="C4715A"/>
          <w:sz w:val="30"/>
          <w:szCs w:val="30"/>
        </w:rPr>
        <w:t xml:space="preserve">4 zones fonctionnelles — hiérarchie stricte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ZONE</w:t>
            </w:r>
          </w:p>
        </w:tc>
        <w:tc>
          <w:tcPr>
            <w:tcW w:type="dxa" w:w="69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RÔLE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HEADER</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Identité — nom, archetype, rareté, set code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HERO ZONE</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Illustration expressive dominante — 60-70% de la carte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FLAVOR AREA</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Caption mémorable — 1-2 lignes — optionnelle mais recommandée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FOOTER METADATA</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Traçabilité — numéro, édition, signature artiste</w:t>
            </w:r>
          </w:p>
        </w:tc>
      </w:tr>
    </w:tbl>
    <w:p>
      <w:pPr>
        <w:spacing w:before="280" w:after="100"/>
      </w:pPr>
      <w:r>
        <w:rPr>
          <w:rFonts w:ascii="Inter" w:cs="Inter" w:eastAsia="Inter" w:hAnsi="Inter"/>
          <w:b/>
          <w:bCs/>
          <w:color w:val="B8C4CC"/>
          <w:sz w:val="24"/>
          <w:szCs w:val="24"/>
        </w:rPr>
        <w:t xml:space="preserve">Spécifications du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RÔLE</w:t>
            </w:r>
          </w:p>
        </w:tc>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EXEMPLE</w:t>
            </w:r>
          </w:p>
        </w:tc>
        <w:tc>
          <w:tcPr>
            <w:tcW w:type="dxa" w:w="2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TYPO</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cardTitle</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Nom principal — dominant</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DOGECOIN</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Inter Bold 700 ou Barlow Condensed Black</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cardSubtitle</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Archetype ou identité courte</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The OG Meme Coin</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Inter Regular 400 — discret</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rarityBadge</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Signal de rareté — coin droit</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RARE</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Couleur tier — badge pill</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setCode</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Référence série — discret</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MCG · 022</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JetBrains Mono — très petit</w:t>
            </w:r>
          </w:p>
        </w:tc>
      </w:tr>
    </w:tbl>
    <w:p>
      <w:pPr>
        <w:spacing w:before="280" w:after="100"/>
      </w:pPr>
      <w:r>
        <w:rPr>
          <w:rFonts w:ascii="Inter" w:cs="Inter" w:eastAsia="Inter" w:hAnsi="Inter"/>
          <w:b/>
          <w:bCs/>
          <w:color w:val="B8C4CC"/>
          <w:sz w:val="24"/>
          <w:szCs w:val="24"/>
        </w:rPr>
        <w:t xml:space="preserve">Spécifications de la Hero Zone</w:t>
      </w:r>
    </w:p>
    <w:p>
      <w:pPr>
        <w:spacing w:before="60" w:after="80"/>
      </w:pPr>
      <w:r>
        <w:rPr>
          <w:rFonts w:ascii="Inter" w:cs="Inter" w:eastAsia="Inter" w:hAnsi="Inter"/>
          <w:color w:val="F5F3EE"/>
          <w:sz w:val="20"/>
          <w:szCs w:val="20"/>
        </w:rPr>
        <w:t xml:space="preserve">Dominante : 60 à 70% de la surface totale de la carte. Fond Ink Deep — les illustrations brillent dessus. Trait expressif moyen — entre sketch assumé et dessin propre. Personnage ou scène identifiable en miniature. Couleurs vives avec texture papier subtile sur le fond. Aucun overlay de texte, aucun bloc de stats, aucune donnée.</w:t>
      </w:r>
    </w:p>
    <w:p>
      <w:pPr>
        <w:shd w:fill="252540" w:val="clear"/>
        <w:spacing w:before="120" w:after="100"/>
      </w:pPr>
      <w:r>
        <w:rPr>
          <w:rFonts w:ascii="Inter" w:cs="Inter" w:eastAsia="Inter" w:hAnsi="Inter"/>
          <w:b/>
          <w:bCs/>
          <w:color w:val="C4715A"/>
          <w:sz w:val="19"/>
          <w:szCs w:val="19"/>
        </w:rPr>
        <w:t xml:space="preserve">RÈGLE ABSOLUE  </w:t>
      </w:r>
      <w:r>
        <w:rPr>
          <w:rFonts w:ascii="Inter" w:cs="Inter" w:eastAsia="Inter" w:hAnsi="Inter"/>
          <w:color w:val="F5F3EE"/>
          <w:sz w:val="19"/>
          <w:szCs w:val="19"/>
        </w:rPr>
        <w:t xml:space="preserve">La hero zone ne contient aucune donnée, aucun chiffre, aucun label de stat.</w:t>
      </w:r>
    </w:p>
    <w:p>
      <w:pPr>
        <w:spacing w:before="280" w:after="100"/>
      </w:pPr>
      <w:r>
        <w:rPr>
          <w:rFonts w:ascii="Inter" w:cs="Inter" w:eastAsia="Inter" w:hAnsi="Inter"/>
          <w:b/>
          <w:bCs/>
          <w:color w:val="B8C4CC"/>
          <w:sz w:val="24"/>
          <w:szCs w:val="24"/>
        </w:rPr>
        <w:t xml:space="preserve">Spécifications de la Flavor Area</w:t>
      </w:r>
    </w:p>
    <w:p>
      <w:pPr>
        <w:spacing w:before="60" w:after="80"/>
      </w:pPr>
      <w:r>
        <w:rPr>
          <w:rFonts w:ascii="Inter" w:cs="Inter" w:eastAsia="Inter" w:hAnsi="Inter"/>
          <w:color w:val="F5F3EE"/>
          <w:sz w:val="20"/>
          <w:szCs w:val="20"/>
        </w:rPr>
        <w:t xml:space="preserve">1 à 2 lignes maximum — jamais plus. Ton mémorable, internet-native, légèrement absurde si cohérent. Jamais cringe, jamais générique, jamais remplissage. Si la flavor text n'est pas forte, laisser vide plutôt que forcer.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TOKEN</w:t>
            </w:r>
          </w:p>
        </w:tc>
        <w:tc>
          <w:tcPr>
            <w:tcW w:type="dxa" w:w="69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FLAVOR TEXT EXEMPLE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DOGE</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Started as a joke. Now valued as a legend. Such amazing.</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PEPE</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First he was sad. Then he became the internet.</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SHIB</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They said it was worthless. They were wrong. Very wrong.</w:t>
            </w:r>
          </w:p>
        </w:tc>
      </w:tr>
    </w:tbl>
    <w:p>
      <w:pPr>
        <w:spacing w:before="280" w:after="100"/>
      </w:pPr>
      <w:r>
        <w:rPr>
          <w:rFonts w:ascii="Inter" w:cs="Inter" w:eastAsia="Inter" w:hAnsi="Inter"/>
          <w:b/>
          <w:bCs/>
          <w:color w:val="B8C4CC"/>
          <w:sz w:val="24"/>
          <w:szCs w:val="24"/>
        </w:rPr>
        <w:t xml:space="preserve">Spécifications du Footer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INFO</w:t>
            </w:r>
          </w:p>
        </w:tc>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FORMAT</w:t>
            </w:r>
          </w:p>
        </w:tc>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EXEMPLE</w:t>
            </w:r>
          </w:p>
        </w:tc>
        <w:tc>
          <w:tcPr>
            <w:tcW w:type="dxa" w:w="2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TYPO</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cardNumber</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XXX / NNN</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108 / 250</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JetBrains Mono fin</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collectionCode</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SET XX</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SET 01</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JetBrains Mono</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edition</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Nom édition</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GENESIS</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JetBrains Mono</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artist</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Signature</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 KOBA</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Très petit, discret</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cardTicker</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Ticker optionnel</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$DOGE</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JetBrains Mono — si absent du subtitle</w:t>
            </w:r>
          </w:p>
        </w:tc>
      </w:tr>
    </w:tbl>
    <w:p>
      <w:pPr>
        <w:pBdr>
          <w:bottom w:val="single" w:color="C4715A" w:sz="8" w:space="8"/>
        </w:pBdr>
        <w:spacing w:before="600" w:after="200"/>
      </w:pPr>
      <w:r>
        <w:rPr>
          <w:rFonts w:ascii="Inter" w:cs="Inter" w:eastAsia="Inter" w:hAnsi="Inter"/>
          <w:b/>
          <w:bCs/>
          <w:color w:val="F5F3EE"/>
          <w:sz w:val="44"/>
          <w:szCs w:val="44"/>
        </w:rPr>
        <w:t xml:space="preserve">03 — SYSTÈME DE FRAME</w:t>
      </w:r>
    </w:p>
    <w:p>
      <w:pPr>
        <w:spacing w:before="440" w:after="140"/>
      </w:pPr>
      <w:r>
        <w:rPr>
          <w:rFonts w:ascii="Inter" w:cs="Inter" w:eastAsia="Inter" w:hAnsi="Inter"/>
          <w:b/>
          <w:bCs/>
          <w:color w:val="C4715A"/>
          <w:sz w:val="30"/>
          <w:szCs w:val="30"/>
        </w:rPr>
        <w:t xml:space="preserve">Sobre, structurante, au service du dessin</w:t>
      </w:r>
    </w:p>
    <w:p>
      <w:pPr>
        <w:spacing w:before="60" w:after="80"/>
      </w:pPr>
      <w:r>
        <w:rPr>
          <w:rFonts w:ascii="Inter" w:cs="Inter" w:eastAsia="Inter" w:hAnsi="Inter"/>
          <w:color w:val="F5F3EE"/>
          <w:sz w:val="20"/>
          <w:szCs w:val="20"/>
        </w:rPr>
        <w:t xml:space="preserve">La frame MCG est une armature — pas un ornement. Elle structure l'espace, signale la rareté, et se retire pour laisser parler l'illustration. Sur fond Ink Deep, la frame est légère et lumineuse — elle crée la bordure sans écraser le dessin.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TIER</w:t>
            </w:r>
          </w:p>
        </w:tc>
        <w:tc>
          <w:tcPr>
            <w:tcW w:type="dxa" w:w="2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COULEUR FRAME</w:t>
            </w:r>
          </w:p>
        </w:tc>
        <w:tc>
          <w:tcPr>
            <w:tcW w:type="dxa" w:w="28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STYLE</w:t>
            </w:r>
          </w:p>
        </w:tc>
        <w:tc>
          <w:tcPr>
            <w:tcW w:type="dxa" w:w="2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FINITION</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#9BA8A3</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Cadre fin, sobre, mat</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Mat propre — l'illustration porte tout</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Uncommon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#6B8F71</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Double contour fin</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Léger vernis spot sur le personnage central</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Rare</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#5C7A8B</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Inner border marqué</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Spot UV sur le sujet principal</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Epic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#8B7FAB</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Frame enrichie avec détails</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Foil localisé sur 1-2 zones précises</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Legendary</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#D4A84B</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Frame affirmée, lumineuse</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Foil + emboss sur le nom</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Mythic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Spectral gradient</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Full custom illustré</w:t>
            </w:r>
          </w:p>
        </w:tc>
        <w:tc>
          <w:tcPr>
            <w:tcW w:type="dxa" w:w="2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Holo spectral doux + traitement exceptionnel</w:t>
            </w:r>
          </w:p>
        </w:tc>
      </w:tr>
    </w:tbl>
    <w:p>
      <w:pPr>
        <w:pBdr>
          <w:bottom w:val="single" w:color="C4715A" w:sz="8" w:space="8"/>
        </w:pBdr>
        <w:spacing w:before="600" w:after="200"/>
      </w:pPr>
      <w:r>
        <w:rPr>
          <w:rFonts w:ascii="Inter" w:cs="Inter" w:eastAsia="Inter" w:hAnsi="Inter"/>
          <w:b/>
          <w:bCs/>
          <w:color w:val="F5F3EE"/>
          <w:sz w:val="44"/>
          <w:szCs w:val="44"/>
        </w:rPr>
        <w:t xml:space="preserve">04 — SYSTÈME DE RARETÉ</w:t>
      </w:r>
    </w:p>
    <w:p>
      <w:pPr>
        <w:spacing w:before="440" w:after="140"/>
      </w:pPr>
      <w:r>
        <w:rPr>
          <w:rFonts w:ascii="Inter" w:cs="Inter" w:eastAsia="Inter" w:hAnsi="Inter"/>
          <w:b/>
          <w:bCs/>
          <w:color w:val="C4715A"/>
          <w:sz w:val="30"/>
          <w:szCs w:val="30"/>
        </w:rPr>
        <w:t xml:space="preserve">La rareté vient d'abord de l'image — la finition amplifie</w:t>
      </w:r>
    </w:p>
    <w:p>
      <w:pPr>
        <w:spacing w:before="60" w:after="80"/>
      </w:pPr>
      <w:r>
        <w:rPr>
          <w:rFonts w:ascii="Inter" w:cs="Inter" w:eastAsia="Inter" w:hAnsi="Inter"/>
          <w:color w:val="F5F3EE"/>
          <w:sz w:val="20"/>
          <w:szCs w:val="20"/>
        </w:rPr>
        <w:t xml:space="preserve">La rareté ne se lit pas uniquement sur un badge. Elle se ressent à travers la qualité de l'illustration, sa composition, son originalité, son énergie. La finition amplifie ce que l'image a déjà installé.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TIER</w:t>
            </w:r>
          </w:p>
        </w:tc>
        <w:tc>
          <w:tcPr>
            <w:tcW w:type="dxa" w:w="2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COULEUR</w:t>
            </w:r>
          </w:p>
        </w:tc>
        <w:tc>
          <w:tcPr>
            <w:tcW w:type="dxa" w:w="51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PRINCIPE ILLUSTRATION</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B8C4CC"/>
                <w:sz w:val="19"/>
                <w:szCs w:val="19"/>
              </w:rPr>
              <w:t xml:space="preserve">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#9BA8A3</w:t>
            </w:r>
          </w:p>
        </w:tc>
        <w:tc>
          <w:tcPr>
            <w:tcW w:type="dxa" w:w="5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Illustration propre et lisible. L'image porte tout — sobre mais qualitative.</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6B8F71"/>
                <w:sz w:val="19"/>
                <w:szCs w:val="19"/>
              </w:rPr>
              <w:t xml:space="preserve">Uncommon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#6B8F71</w:t>
            </w:r>
          </w:p>
        </w:tc>
        <w:tc>
          <w:tcPr>
            <w:tcW w:type="dxa" w:w="5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Personnage défini, composition plus affirmée. Premier signal de distinction.</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5C7A8B"/>
                <w:sz w:val="19"/>
                <w:szCs w:val="19"/>
              </w:rPr>
              <w:t xml:space="preserve">Rare</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#5C7A8B</w:t>
            </w:r>
          </w:p>
        </w:tc>
        <w:tc>
          <w:tcPr>
            <w:tcW w:type="dxa" w:w="5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Composition forte, sujet centré, détails fins. Présence notable.</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8B7FAB"/>
                <w:sz w:val="19"/>
                <w:szCs w:val="19"/>
              </w:rPr>
              <w:t xml:space="preserve">Epic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#8B7FAB</w:t>
            </w:r>
          </w:p>
        </w:tc>
        <w:tc>
          <w:tcPr>
            <w:tcW w:type="dxa" w:w="5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Illustration riche, scène élaborée, expression forte. Forte désirabilité.</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D4A84B"/>
                <w:sz w:val="19"/>
                <w:szCs w:val="19"/>
              </w:rPr>
              <w:t xml:space="preserve">Legendary</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#D4A84B</w:t>
            </w:r>
          </w:p>
        </w:tc>
        <w:tc>
          <w:tcPr>
            <w:tcW w:type="dxa" w:w="5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Illustration exceptionnelle — la meilleure version du personnage. Objet de charme fort.</w:t>
            </w:r>
          </w:p>
        </w:tc>
      </w:tr>
      <w:tr>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C4715A"/>
                <w:sz w:val="19"/>
                <w:szCs w:val="19"/>
              </w:rPr>
              <w:t xml:space="preserve">Mythic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Spectral</w:t>
            </w:r>
          </w:p>
        </w:tc>
        <w:tc>
          <w:tcPr>
            <w:tcW w:type="dxa" w:w="5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Artwork unique, traitement complet. Niveau ultra — jamais un simple recoloriage.</w:t>
            </w:r>
          </w:p>
        </w:tc>
      </w:tr>
    </w:tbl>
    <w:p>
      <w:pPr>
        <w:pBdr>
          <w:bottom w:val="single" w:color="C4715A" w:sz="8" w:space="8"/>
        </w:pBdr>
        <w:spacing w:before="600" w:after="200"/>
      </w:pPr>
      <w:r>
        <w:rPr>
          <w:rFonts w:ascii="Inter" w:cs="Inter" w:eastAsia="Inter" w:hAnsi="Inter"/>
          <w:b/>
          <w:bCs/>
          <w:color w:val="F5F3EE"/>
          <w:sz w:val="44"/>
          <w:szCs w:val="44"/>
        </w:rPr>
        <w:t xml:space="preserve">05 — ARTWORK GUIDELINES</w:t>
      </w:r>
    </w:p>
    <w:p>
      <w:pPr>
        <w:spacing w:before="440" w:after="140"/>
      </w:pPr>
      <w:r>
        <w:rPr>
          <w:rFonts w:ascii="Inter" w:cs="Inter" w:eastAsia="Inter" w:hAnsi="Inter"/>
          <w:b/>
          <w:bCs/>
          <w:color w:val="C4715A"/>
          <w:sz w:val="30"/>
          <w:szCs w:val="30"/>
        </w:rPr>
        <w:t xml:space="preserve">Direction artistique des illustrations MCG</w:t>
      </w:r>
    </w:p>
    <w:p>
      <w:pPr>
        <w:spacing w:before="60" w:after="80"/>
      </w:pPr>
      <w:r>
        <w:rPr>
          <w:rFonts w:ascii="Inter" w:cs="Inter" w:eastAsia="Inter" w:hAnsi="Inter"/>
          <w:color w:val="F5F3EE"/>
          <w:sz w:val="20"/>
          <w:szCs w:val="20"/>
        </w:rPr>
        <w:t xml:space="preserve">Les artworks MCG doivent être cohérents dans leur registre sans être uniformes dans leur style. L'identité vient du caractère expressif, de la lisibilité, et de la présence du personnage — pas d'un style unique imposé.</w:t>
      </w:r>
    </w:p>
    <w:p>
      <w:pPr>
        <w:spacing w:before="280" w:after="100"/>
      </w:pPr>
      <w:r>
        <w:rPr>
          <w:rFonts w:ascii="Inter" w:cs="Inter" w:eastAsia="Inter" w:hAnsi="Inter"/>
          <w:b/>
          <w:bCs/>
          <w:color w:val="B8C4CC"/>
          <w:sz w:val="24"/>
          <w:szCs w:val="24"/>
        </w:rPr>
        <w:t xml:space="preserve">Registre visuel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REGISTRE</w:t>
            </w:r>
          </w:p>
        </w:tc>
        <w:tc>
          <w:tcPr>
            <w:tcW w:type="dxa" w:w="6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PRINCIPE</w:t>
            </w:r>
          </w:p>
        </w:tc>
      </w:tr>
      <w:tr>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Trait expressif moyen</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Entre sketch assumé et dessin propre. Ni trop sage ni trop rough. Le trait a de l'énergie.</w:t>
            </w:r>
          </w:p>
        </w:tc>
      </w:tr>
      <w:tr>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Couleurs vives assumées</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Palette vive, saturée avec intention. Texture papier subtile sur les fonds. Pas pastel, pas cartoon saturé.</w:t>
            </w:r>
          </w:p>
        </w:tc>
      </w:tr>
      <w:tr>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Personnage expressif</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Sujet reconnaissable, expression forte, présence réelle. Lisible en miniature.</w:t>
            </w:r>
          </w:p>
        </w:tc>
      </w:tr>
      <w:tr>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Humour discret intégré</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Charge mémétique légère possible — jamais forcée. Les initiés sourient.</w:t>
            </w:r>
          </w:p>
        </w:tc>
      </w:tr>
      <w:tr>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Composition intentionnelle</w:t>
            </w:r>
          </w:p>
        </w:tc>
        <w:tc>
          <w:tcPr>
            <w:tcW w:type="dxa" w:w="6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Point focal clair, dynamisme dans la pose ou la scène. Pas statique.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Trait moyen expressif — du caractère dans le geste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Fine-line ultra-propre sans énergie ni personnalité</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Couleurs vives avec texture papier légère sur les fonds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Saturation cartoon agressive ou pastels fade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Personnage avec expression et présence forte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Abstraction molle sans sujet identifiable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Composition dynamique — point focal clair</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Composition statique sans intention</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Humour discret intégré à la scène</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Référence meme forcée et maladroite</w:t>
            </w:r>
          </w:p>
        </w:tc>
      </w:tr>
    </w:tbl>
    <w:p>
      <w:pPr>
        <w:pBdr>
          <w:bottom w:val="single" w:color="C4715A" w:sz="8" w:space="8"/>
        </w:pBdr>
        <w:spacing w:before="600" w:after="200"/>
      </w:pPr>
      <w:r>
        <w:rPr>
          <w:rFonts w:ascii="Inter" w:cs="Inter" w:eastAsia="Inter" w:hAnsi="Inter"/>
          <w:b/>
          <w:bCs/>
          <w:color w:val="F5F3EE"/>
          <w:sz w:val="44"/>
          <w:szCs w:val="44"/>
        </w:rPr>
        <w:t xml:space="preserve">06 — BACKS DE CARTE</w:t>
      </w:r>
    </w:p>
    <w:p>
      <w:pPr>
        <w:spacing w:before="440" w:after="140"/>
      </w:pPr>
      <w:r>
        <w:rPr>
          <w:rFonts w:ascii="Inter" w:cs="Inter" w:eastAsia="Inter" w:hAnsi="Inter"/>
          <w:b/>
          <w:bCs/>
          <w:color w:val="C4715A"/>
          <w:sz w:val="30"/>
          <w:szCs w:val="30"/>
        </w:rPr>
        <w:t xml:space="preserve">Identité MCG — première surface visible</w:t>
      </w:r>
    </w:p>
    <w:p>
      <w:pPr>
        <w:spacing w:before="60" w:after="80"/>
      </w:pPr>
      <w:r>
        <w:rPr>
          <w:rFonts w:ascii="Inter" w:cs="Inter" w:eastAsia="Inter" w:hAnsi="Inter"/>
          <w:color w:val="F5F3EE"/>
          <w:sz w:val="20"/>
          <w:szCs w:val="20"/>
        </w:rPr>
        <w:t xml:space="preserve">Le dos de carte est immédiatement identifiable comme MCG. C'est la première surface visible à l'ouverture du pack. Sur fond Ink Deep, le logo MCG est présent et fort — le dos encode la marque avant même que l'artwork soit révélé.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SPECS</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Fond</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Ink Deep (#0F0F1A) + texture papier très subtile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Logo MCG</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Centré, fort — Chalk ou Clay selon le set</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Pattern de fond</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Motif MCG discret — trait fin, opacity 8–12%</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Set code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Footer JetBrains Mono — si applicable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Aucune info gameplay</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Uniquement identité marque — pas de spoiler</w:t>
            </w:r>
          </w:p>
        </w:tc>
      </w:tr>
    </w:tbl>
    <w:p>
      <w:pPr>
        <w:pBdr>
          <w:bottom w:val="single" w:color="3D3D4E" w:sz="2" w:space="1"/>
        </w:pBdr>
        <w:spacing w:before="200" w:after="200"/>
      </w:pPr>
      <w:r>
        <w:t xml:space="preserve"/>
      </w:r>
    </w:p>
    <w:p>
      <w:pPr>
        <w:spacing w:before="40" w:after="0"/>
        <w:jc w:val="center"/>
      </w:pPr>
      <w:r>
        <w:rPr>
          <w:rFonts w:ascii="Courier New" w:cs="Courier New" w:eastAsia="Courier New" w:hAnsi="Courier New"/>
          <w:color w:val="3D3D4E"/>
          <w:sz w:val="16"/>
          <w:szCs w:val="16"/>
        </w:rPr>
        <w:t xml:space="preserve">MCG — MEME CARD GAME  ·  Card System Specs V2  ·  CONFIDENTIEL — USAGE INTERNE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2026-03-13T12:41:57.489Z</dcterms:created>
  <dcterms:modified xsi:type="dcterms:W3CDTF">2026-03-13T12:41:57.490Z</dcterms:modified>
</cp:coreProperties>
</file>

<file path=docProps/custom.xml><?xml version="1.0" encoding="utf-8"?>
<Properties xmlns="http://schemas.openxmlformats.org/officeDocument/2006/custom-properties" xmlns:vt="http://schemas.openxmlformats.org/officeDocument/2006/docPropsVTypes"/>
</file>