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Inter" w:cs="Inter" w:eastAsia="Inter" w:hAnsi="Inter"/>
          <w:b/>
          <w:bCs/>
          <w:color w:val="C4715A"/>
          <w:sz w:val="88"/>
          <w:szCs w:val="88"/>
        </w:rPr>
        <w:t xml:space="preserve">MCG</w:t>
      </w:r>
    </w:p>
    <w:p>
      <w:pPr>
        <w:spacing w:before="0" w:after="120"/>
      </w:pPr>
      <w:r>
        <w:rPr>
          <w:rFonts w:ascii="Inter" w:cs="Inter" w:eastAsia="Inter" w:hAnsi="Inter"/>
          <w:b/>
          <w:bCs/>
          <w:color w:val="B8C4CC"/>
          <w:sz w:val="32"/>
          <w:szCs w:val="32"/>
        </w:rPr>
        <w:t xml:space="preserve">MEME CARD GAME</w:t>
      </w:r>
    </w:p>
    <w:p>
      <w:pPr>
        <w:pBdr>
          <w:bottom w:val="single" w:color="C4715A" w:sz="6" w:space="8"/>
        </w:pBdr>
        <w:spacing w:before="0" w:after="60"/>
      </w:pPr>
      <w:r>
        <w:rPr>
          <w:rFonts w:ascii="Inter" w:cs="Inter" w:eastAsia="Inter" w:hAnsi="Inter"/>
          <w:b/>
          <w:bCs/>
          <w:color w:val="F5F3EE"/>
          <w:sz w:val="40"/>
          <w:szCs w:val="40"/>
        </w:rPr>
        <w:t xml:space="preserve">Pack System Specs</w:t>
      </w:r>
    </w:p>
    <w:p>
      <w:pPr>
        <w:spacing w:before="60" w:after="40"/>
      </w:pPr>
      <w:r>
        <w:rPr>
          <w:rFonts w:ascii="Inter" w:cs="Inter" w:eastAsia="Inter" w:hAnsi="Inter"/>
          <w:i/>
          <w:iCs/>
          <w:color w:val="B8C4CC"/>
          <w:sz w:val="22"/>
          <w:szCs w:val="22"/>
        </w:rPr>
        <w:t xml:space="preserve">Booster — Box — Langage de Série — Digital / Physique</w:t>
      </w:r>
    </w:p>
    <w:p>
      <w:pPr>
        <w:spacing w:before="0" w:after="400"/>
      </w:pPr>
      <w:r>
        <w:rPr>
          <w:rFonts w:ascii="Courier New" w:cs="Courier New" w:eastAsia="Courier New" w:hAnsi="Courier New"/>
          <w:color w:val="3D3D4E"/>
          <w:sz w:val="18"/>
          <w:szCs w:val="18"/>
        </w:rPr>
        <w:t xml:space="preserve">V2  ·  CONFIDENTIEL — USAGE INTERNE</w:t>
      </w:r>
    </w:p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01 — PHILOSOPHIE DU PACK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Un objet TCG désirable — fun, illustré, avec de l'énergie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Quand on voit un pack MCG, la réaction doit être immédiate : reconnaître la marque, être attiré par l'illustration de la face avant, avoir envie de savoir ce qu'il y a dedans. Le pack doit évoquer l'excitation du tirage — pas la sophistication froide d'un objet premium.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Le pack MCG est fun et collectible. Il a de la couleur, du caractère, de l'énergie — sur fond sombre, les illustrations brillent.</w:t>
      </w:r>
    </w:p>
    <w:p>
      <w:pPr>
        <w:pBdr>
          <w:bottom w:val="single" w:color="3D3D4E" w:sz="2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LE PACK COMMUNIQUE</w:t>
            </w:r>
          </w:p>
        </w:tc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AVANT MÊME L'OUVERTURE</w:t>
            </w:r>
          </w:p>
        </w:tc>
      </w:tr>
      <w:tr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L'identité MCG</w:t>
            </w:r>
          </w:p>
        </w:tc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Reconnaissance instantanée de la marque — logo fort, palette assumée</w:t>
            </w:r>
          </w:p>
        </w:tc>
      </w:tr>
      <w:tr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L'identité du set</w:t>
            </w:r>
          </w:p>
        </w:tc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Chaque drop a sa propre illustration et personnalité visuelle</w:t>
            </w:r>
          </w:p>
        </w:tc>
      </w:tr>
      <w:tr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La promesse de l'artwork</w:t>
            </w:r>
          </w:p>
        </w:tc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La face avant donne un aperçu de l'univers du set</w:t>
            </w:r>
          </w:p>
        </w:tc>
      </w:tr>
      <w:tr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Le tier de rareté potentielle</w:t>
            </w:r>
          </w:p>
        </w:tc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Signal discret — couleur de set, badge de tier</w:t>
            </w:r>
          </w:p>
        </w:tc>
      </w:tr>
      <w:tr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L'énergie TCG</w:t>
            </w:r>
          </w:p>
        </w:tc>
        <w:tc>
          <w:tcPr>
            <w:tcW w:type="dxa" w:w="468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On a envie de l'ouvrir — maintenant</w:t>
            </w:r>
          </w:p>
        </w:tc>
      </w:tr>
    </w:tbl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02 — STRUCTURE DU BOOSTER STANDARD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Silhouette — Zones — Hiérarchie</w:t>
      </w:r>
    </w:p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Silhouette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Booster vertical classique TCG. Familier, crédible, reconnaissable en miniature. Compatible digital et physique. La familiarité de la forme laisse toute la place à l'illustration.</w:t>
      </w:r>
    </w:p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Composition de la face avant — hiérarchie stricte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ZONE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RÔLE</w:t>
            </w:r>
          </w:p>
        </w:tc>
        <w:tc>
          <w:tcPr>
            <w:tcW w:type="dxa" w:w="4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SPECS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Logo MCG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Identité marque — haut du pack</w:t>
            </w:r>
          </w:p>
        </w:tc>
        <w:tc>
          <w:tcPr>
            <w:tcW w:type="dxa" w:w="4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Wordmark compact, Chalk ou Clay selon le set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Illustration hero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Zone dominante — 55–65% de la face avant</w:t>
            </w:r>
          </w:p>
        </w:tc>
        <w:tc>
          <w:tcPr>
            <w:tcW w:type="dxa" w:w="4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Artwork du set, coloré, expressif — le cœur du pack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Nom du set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Identité de la série</w:t>
            </w:r>
          </w:p>
        </w:tc>
        <w:tc>
          <w:tcPr>
            <w:tcW w:type="dxa" w:w="4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Inter Bold ou Barlow Condensed, lisible sur fond sombre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Contenu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Nb cartes + info rareté</w:t>
            </w:r>
          </w:p>
        </w:tc>
        <w:tc>
          <w:tcPr>
            <w:tcW w:type="dxa" w:w="4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JetBrains Mono, petit, discret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Prix / CTA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En digital uniquement</w:t>
            </w:r>
          </w:p>
        </w:tc>
        <w:tc>
          <w:tcPr>
            <w:tcW w:type="dxa" w:w="4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Clay bold — visible mais ne concurrence pas l'illustration</w:t>
            </w:r>
          </w:p>
        </w:tc>
      </w:tr>
    </w:tbl>
    <w:p>
      <w:pPr>
        <w:spacing w:before="280" w:after="100"/>
      </w:pPr>
      <w:r>
        <w:rPr>
          <w:rFonts w:ascii="Inter" w:cs="Inter" w:eastAsia="Inter" w:hAnsi="Inter"/>
          <w:b/>
          <w:bCs/>
          <w:color w:val="B8C4CC"/>
          <w:sz w:val="24"/>
          <w:szCs w:val="24"/>
        </w:rPr>
        <w:t xml:space="preserve">Face arrière du booster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Fond Ink Deep avec texture papier très subtile. Logo MCG centré — grand, fort. Set code en footer JetBrains Mono. Pattern de fond discret si applicable. Aucun spoiler de contenu.</w:t>
      </w:r>
    </w:p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03 — GAMME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CONTENU</w:t>
            </w:r>
          </w:p>
        </w:tc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POSITIONNEMENT</w:t>
            </w:r>
          </w:p>
        </w:tc>
        <w:tc>
          <w:tcPr>
            <w:tcW w:type="dxa" w:w="1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PRIX CIBLE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Booster Standard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5 cartes (4C/U + 1 Rare+)</w:t>
            </w:r>
          </w:p>
        </w:tc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Entrée de gamme — accessible, fun</w:t>
            </w:r>
          </w:p>
        </w:tc>
        <w:tc>
          <w:tcPr>
            <w:tcW w:type="dxa" w:w="1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$3–5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Booster Premium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8 cartes (garantie Epic+)</w:t>
            </w:r>
          </w:p>
        </w:tc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Mid-range — meilleure valeur</w:t>
            </w:r>
          </w:p>
        </w:tc>
        <w:tc>
          <w:tcPr>
            <w:tcW w:type="dxa" w:w="1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$8–12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Box Display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24 boosters standard</w:t>
            </w:r>
          </w:p>
        </w:tc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Collection — garantie Legendary</w:t>
            </w:r>
          </w:p>
        </w:tc>
        <w:tc>
          <w:tcPr>
            <w:tcW w:type="dxa" w:w="1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$60–80</w:t>
            </w:r>
          </w:p>
        </w:tc>
      </w:tr>
      <w:tr>
        <w:tc>
          <w:tcPr>
            <w:tcW w:type="dxa" w:w="2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Pack Collector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3 cartes holo + artcard</w:t>
            </w:r>
          </w:p>
        </w:tc>
        <w:tc>
          <w:tcPr>
            <w:tcW w:type="dxa" w:w="28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Prestige — objet de collection</w:t>
            </w:r>
          </w:p>
        </w:tc>
        <w:tc>
          <w:tcPr>
            <w:tcW w:type="dxa" w:w="15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$15–25</w:t>
            </w:r>
          </w:p>
        </w:tc>
      </w:tr>
    </w:tbl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04 — LANGAGE SET / SÉRIE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Structure commune — personnalité visuelle unique par set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Chaque set MCG est immédiatement identifiable tout en restant clairement dans l'univers MCG. La structure de packaging reste la même — c'est la couche illustrée de série qui change et donne son caractère au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FIXE MCG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VARIABLE PAR SET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Silhouette pack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Oui — verticale classique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Logo MCG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Oui — position et taille fixes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Couleur selon set (Chalk ou Clay)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Illustration hero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Structure fixe — zone 55–65%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Artwork unique par set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Palette dominante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Ink Deep en base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Accents et couleurs illustratives du set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Typographie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Inter + JetBrains Mono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Jamais de typo custom par set</w:t>
            </w:r>
          </w:p>
        </w:tc>
      </w:tr>
      <w:tr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Badge de set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Position fixe, coin</w:t>
            </w:r>
          </w:p>
        </w:tc>
        <w:tc>
          <w:tcPr>
            <w:tcW w:type="dxa" w:w="33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Icon et couleur uniques par set</w:t>
            </w:r>
          </w:p>
        </w:tc>
      </w:tr>
    </w:tbl>
    <w:p>
      <w:pPr>
        <w:pBdr>
          <w:bottom w:val="single" w:color="C4715A" w:sz="8" w:space="8"/>
        </w:pBdr>
        <w:spacing w:before="600" w:after="200"/>
      </w:pPr>
      <w:r>
        <w:rPr>
          <w:rFonts w:ascii="Inter" w:cs="Inter" w:eastAsia="Inter" w:hAnsi="Inter"/>
          <w:b/>
          <w:bCs/>
          <w:color w:val="F5F3EE"/>
          <w:sz w:val="44"/>
          <w:szCs w:val="44"/>
        </w:rPr>
        <w:t xml:space="preserve">05 — PACK DIGITAL</w:t>
      </w:r>
    </w:p>
    <w:p>
      <w:pPr>
        <w:spacing w:before="440" w:after="140"/>
      </w:pPr>
      <w:r>
        <w:rPr>
          <w:rFonts w:ascii="Inter" w:cs="Inter" w:eastAsia="Inter" w:hAnsi="Inter"/>
          <w:b/>
          <w:bCs/>
          <w:color w:val="C4715A"/>
          <w:sz w:val="30"/>
          <w:szCs w:val="30"/>
        </w:rPr>
        <w:t xml:space="preserve">Signaux physiques — États — Interactions</w:t>
      </w:r>
    </w:p>
    <w:p>
      <w:pPr>
        <w:spacing w:before="60" w:after="80"/>
      </w:pPr>
      <w:r>
        <w:rPr>
          <w:rFonts w:ascii="Inter" w:cs="Inter" w:eastAsia="Inter" w:hAnsi="Inter"/>
          <w:color w:val="F5F3EE"/>
          <w:sz w:val="20"/>
          <w:szCs w:val="20"/>
        </w:rPr>
        <w:t xml:space="preserve">Le pack digital doit imiter les signaux du physique avec légèreté. Il donne envie — pas simuler une photographie de produit. L'illustration de face avant doit être aussi belle en digital qu'en 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ÉTAT</w:t>
            </w:r>
          </w:p>
        </w:tc>
        <w:tc>
          <w:tcPr>
            <w:tcW w:type="dxa" w:w="3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COMPORTEMENT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SPECS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Idle / Display</w:t>
            </w:r>
          </w:p>
        </w:tc>
        <w:tc>
          <w:tcPr>
            <w:tcW w:type="dxa" w:w="3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Pack statique avec shimmer subtil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CSS animation shimmer 4s loop, opacity 0–15%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Hover</w:t>
            </w:r>
          </w:p>
        </w:tc>
        <w:tc>
          <w:tcPr>
            <w:tcW w:type="dxa" w:w="3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Légère élévation + reflet matière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translateY(-4px) + box-shadow clay 20%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CTA hover</w:t>
            </w:r>
          </w:p>
        </w:tc>
        <w:tc>
          <w:tcPr>
            <w:tcW w:type="dxa" w:w="3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Bouton clay s'illumine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Background clay-hover + scale(1.02)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Opening</w:t>
            </w:r>
          </w:p>
        </w:tc>
        <w:tc>
          <w:tcPr>
            <w:tcW w:type="dxa" w:w="3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Animation dépliage / déchirement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Durée 800ms — voir Motion doc</w:t>
            </w:r>
          </w:p>
        </w:tc>
      </w:tr>
      <w:tr>
        <w:tc>
          <w:tcPr>
            <w:tcW w:type="dxa" w:w="24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Sold out</w:t>
            </w:r>
          </w:p>
        </w:tc>
        <w:tc>
          <w:tcPr>
            <w:tcW w:type="dxa" w:w="39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Overlay fog + badge</w:t>
            </w:r>
          </w:p>
        </w:tc>
        <w:tc>
          <w:tcPr>
            <w:tcW w:type="dxa" w:w="30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Illustration encore visible en dessous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5F3EE"/>
                <w:sz w:val="19"/>
                <w:szCs w:val="19"/>
              </w:rPr>
              <w:t xml:space="preserve">FAIRE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shd w:fill="25254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C4715A"/>
                <w:sz w:val="19"/>
                <w:szCs w:val="19"/>
              </w:rPr>
              <w:t xml:space="preserve">ÉVITER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Illustration face avant lisible et belle à tout état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Photoréalisme lourd — objet 3D trop rendu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Reflets matière subtils — fidèles au tier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Reflets permanents qui distordent l'illustration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Shimmer foil simulé selon le niveau de produit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Animation de pack en loop continue non stoppable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Bords et texture du wrapper suggérés — pas photoréalistes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Fond du pack qui concurrence l'illustration</w:t>
            </w:r>
          </w:p>
        </w:tc>
      </w:tr>
      <w:tr>
        <w:tc>
          <w:tcPr>
            <w:tcW w:type="dxa" w:w="460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F5F3EE"/>
                <w:sz w:val="19"/>
                <w:szCs w:val="19"/>
              </w:rPr>
              <w:t xml:space="preserve">Pack sold out avec illustration encore visible</w:t>
            </w:r>
          </w:p>
        </w:tc>
        <w:tc>
          <w:tcPr>
            <w:tcW w:type="dxa" w:w="4760"/>
            <w:tcBorders>
              <w:top w:val="single" w:color="3D3D4E" w:sz="1"/>
              <w:left w:val="single" w:color="3D3D4E" w:sz="1"/>
              <w:bottom w:val="single" w:color="3D3D4E" w:sz="1"/>
              <w:right w:val="single" w:color="3D3D4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B8C4CC"/>
                <w:sz w:val="19"/>
                <w:szCs w:val="19"/>
              </w:rPr>
              <w:t xml:space="preserve">Pack sold out avec illustration complètement masquée</w:t>
            </w:r>
          </w:p>
        </w:tc>
      </w:tr>
    </w:tbl>
    <w:p>
      <w:pPr>
        <w:pBdr>
          <w:bottom w:val="single" w:color="3D3D4E" w:sz="2" w:space="1"/>
        </w:pBdr>
        <w:spacing w:before="200" w:after="200"/>
      </w:pPr>
      <w:r>
        <w:t xml:space="preserve"/>
      </w:r>
    </w:p>
    <w:p>
      <w:pPr>
        <w:spacing w:before="40" w:after="0"/>
        <w:jc w:val="center"/>
      </w:pPr>
      <w:r>
        <w:rPr>
          <w:rFonts w:ascii="Courier New" w:cs="Courier New" w:eastAsia="Courier New" w:hAnsi="Courier New"/>
          <w:color w:val="3D3D4E"/>
          <w:sz w:val="16"/>
          <w:szCs w:val="16"/>
        </w:rPr>
        <w:t xml:space="preserve">MCG — MEME CARD GAME  ·  Pack System V2  ·  CONFIDENTIEL — USAGE INTERNE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2026-03-13T12:40:23.172Z</dcterms:created>
  <dcterms:modified xsi:type="dcterms:W3CDTF">2026-03-13T12:40:23.172Z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