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Inter" w:cs="Inter" w:eastAsia="Inter" w:hAnsi="Inter"/>
          <w:b/>
          <w:bCs/>
          <w:color w:val="C4715A"/>
          <w:sz w:val="88"/>
          <w:szCs w:val="88"/>
        </w:rPr>
        <w:t xml:space="preserve">MCG</w:t>
      </w:r>
    </w:p>
    <w:p>
      <w:pPr>
        <w:spacing w:before="0" w:after="120"/>
      </w:pPr>
      <w:r>
        <w:rPr>
          <w:rFonts w:ascii="Inter" w:cs="Inter" w:eastAsia="Inter" w:hAnsi="Inter"/>
          <w:b/>
          <w:bCs/>
          <w:color w:val="B8C4CC"/>
          <w:sz w:val="32"/>
          <w:szCs w:val="32"/>
        </w:rPr>
        <w:t xml:space="preserve">MEME CARD GAME</w:t>
      </w:r>
    </w:p>
    <w:p>
      <w:pPr>
        <w:pBdr>
          <w:bottom w:val="single" w:color="C4715A" w:sz="6" w:space="8"/>
        </w:pBdr>
        <w:spacing w:before="0" w:after="60"/>
      </w:pPr>
      <w:r>
        <w:rPr>
          <w:rFonts w:ascii="Inter" w:cs="Inter" w:eastAsia="Inter" w:hAnsi="Inter"/>
          <w:b/>
          <w:bCs/>
          <w:color w:val="F5F3EE"/>
          <w:sz w:val="40"/>
          <w:szCs w:val="40"/>
        </w:rPr>
        <w:t xml:space="preserve">Brand Guidelines</w:t>
      </w:r>
    </w:p>
    <w:p>
      <w:pPr>
        <w:spacing w:before="60" w:after="40"/>
      </w:pPr>
      <w:r>
        <w:rPr>
          <w:rFonts w:ascii="Inter" w:cs="Inter" w:eastAsia="Inter" w:hAnsi="Inter"/>
          <w:i/>
          <w:iCs/>
          <w:color w:val="B8C4CC"/>
          <w:sz w:val="22"/>
          <w:szCs w:val="22"/>
        </w:rPr>
        <w:t xml:space="preserve">Direction Artistique — Document Référence V2</w:t>
      </w:r>
    </w:p>
    <w:p>
      <w:pPr>
        <w:spacing w:before="0" w:after="400"/>
      </w:pPr>
      <w:r>
        <w:rPr>
          <w:rFonts w:ascii="Courier New" w:cs="Courier New" w:eastAsia="Courier New" w:hAnsi="Courier New"/>
          <w:color w:val="3D3D4E"/>
          <w:sz w:val="18"/>
          <w:szCs w:val="18"/>
        </w:rPr>
        <w:t xml:space="preserve">V2  ·  CONFIDENTIEL — USAGE INTERNE</w:t>
      </w:r>
    </w:p>
    <w:p>
      <w:pPr>
        <w:pBdr>
          <w:bottom w:val="single" w:color="C4715A" w:sz="8" w:space="8"/>
        </w:pBdr>
        <w:spacing w:before="600" w:after="200"/>
      </w:pPr>
      <w:r>
        <w:rPr>
          <w:rFonts w:ascii="Inter" w:cs="Inter" w:eastAsia="Inter" w:hAnsi="Inter"/>
          <w:b/>
          <w:bCs/>
          <w:color w:val="F5F3EE"/>
          <w:sz w:val="44"/>
          <w:szCs w:val="44"/>
        </w:rPr>
        <w:t xml:space="preserve">01 — ADN ARTISTIQUE</w:t>
      </w:r>
    </w:p>
    <w:p>
      <w:pPr>
        <w:spacing w:before="440" w:after="140"/>
      </w:pPr>
      <w:r>
        <w:rPr>
          <w:rFonts w:ascii="Inter" w:cs="Inter" w:eastAsia="Inter" w:hAnsi="Inter"/>
          <w:b/>
          <w:bCs/>
          <w:color w:val="C4715A"/>
          <w:sz w:val="30"/>
          <w:szCs w:val="30"/>
        </w:rPr>
        <w:t xml:space="preserve">Ce que MCG est — et ce qu'il ne sera jamais</w:t>
      </w:r>
    </w:p>
    <w:p>
      <w:pPr>
        <w:spacing w:before="60" w:after="80"/>
        <w:jc w:val="left"/>
      </w:pPr>
      <w:r>
        <w:rPr>
          <w:rFonts w:ascii="Inter" w:cs="Inter" w:eastAsia="Inter" w:hAnsi="Inter"/>
          <w:color w:val="F5F3EE"/>
          <w:sz w:val="20"/>
          <w:szCs w:val="20"/>
        </w:rPr>
        <w:t xml:space="preserve">MCG est un jeu de cartes collectibles fun, ancré dans la culture internet et meme. Son identité vient d'abord de ses illustrations expressives, de ses personnages mémorables, et d'une énergie TCG assumée — celle d'un jeu qu'on veut ouvrir, collectionner, montrer.</w:t>
      </w:r>
    </w:p>
    <w:p>
      <w:pPr>
        <w:spacing w:before="60" w:after="80"/>
        <w:jc w:val="left"/>
      </w:pPr>
      <w:r>
        <w:rPr>
          <w:rFonts w:ascii="Inter" w:cs="Inter" w:eastAsia="Inter" w:hAnsi="Inter"/>
          <w:color w:val="F5F3EE"/>
          <w:sz w:val="20"/>
          <w:szCs w:val="20"/>
        </w:rPr>
        <w:t xml:space="preserve">Le registre est fun + collectible, pas dark premium. MCG a du caractère, de la couleur, de l'humour — et une vraie profondeur de collection.</w:t>
      </w:r>
    </w:p>
    <w:p>
      <w:pPr>
        <w:pBdr>
          <w:bottom w:val="single" w:color="3D3D4E"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FAIRE</w:t>
            </w:r>
          </w:p>
        </w:tc>
        <w:tc>
          <w:tcPr>
            <w:tcW w:type="dxa" w:w="47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ÉVITER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Univers TCG fun, coloré, expressif — avec du caractère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Dark premium froid — tension et convoitise comme émotion dominante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Culture internet et meme intégrée avec intelligence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Cartoon promo hystérique ou mobile game flashy</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Collectible par charme, humour et désirabilité de l'image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Fantasy TCG classique, anime gacha, cyberpunk générique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Trait expressif, lisible, avec de la personnalité</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Fine-line trop sage et trop propre — sans énergie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Énergie de collection — l'envie d'ouvrir le prochain pack</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Dashboard crypto ou application de gestion technique</w:t>
            </w:r>
          </w:p>
        </w:tc>
      </w:tr>
    </w:tbl>
    <w:p>
      <w:pPr>
        <w:pBdr>
          <w:bottom w:val="single" w:color="3D3D4E" w:sz="2" w:space="1"/>
        </w:pBdr>
        <w:spacing w:before="200" w:after="200"/>
      </w:pPr>
      <w:r>
        <w:t xml:space="preserve"/>
      </w:r>
    </w:p>
    <w:p>
      <w:pPr>
        <w:spacing w:before="440" w:after="140"/>
      </w:pPr>
      <w:r>
        <w:rPr>
          <w:rFonts w:ascii="Inter" w:cs="Inter" w:eastAsia="Inter" w:hAnsi="Inter"/>
          <w:b/>
          <w:bCs/>
          <w:color w:val="C4715A"/>
          <w:sz w:val="30"/>
          <w:szCs w:val="30"/>
        </w:rPr>
        <w:t xml:space="preserve">Les 4 tensions créatives actives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PILIER</w:t>
            </w:r>
          </w:p>
        </w:tc>
        <w:tc>
          <w:tcPr>
            <w:tcW w:type="dxa" w:w="71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PRINCIPE</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ILLUSTRATION EXPRESSIVE</w:t>
            </w:r>
          </w:p>
        </w:tc>
        <w:tc>
          <w:tcPr>
            <w:tcW w:type="dxa" w:w="7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Trait assumé, couleurs vives, personnages avec du caractère. Le dessin a de l'énergie — pas seulement de la finesse.</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MEME CULTURE</w:t>
            </w:r>
          </w:p>
        </w:tc>
        <w:tc>
          <w:tcPr>
            <w:tcW w:type="dxa" w:w="7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Ironie subtile, références intégrées, humour deadpan. Les initiés sourient — les autres voient une belle carte.</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TCG ENERGY</w:t>
            </w:r>
          </w:p>
        </w:tc>
        <w:tc>
          <w:tcPr>
            <w:tcW w:type="dxa" w:w="7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Système de rareté, reveals, collection, progression. L'excitation du tirage est centrale — fun avant tout.</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COLLECTIBLE CHARM</w:t>
            </w:r>
          </w:p>
        </w:tc>
        <w:tc>
          <w:tcPr>
            <w:tcW w:type="dxa" w:w="7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On veut posséder la carte parce qu'on aime l'image ET parce qu'elle est rare. Les deux moteurs coexistent.</w:t>
            </w:r>
          </w:p>
        </w:tc>
      </w:tr>
    </w:tbl>
    <w:p>
      <w:pPr>
        <w:pBdr>
          <w:bottom w:val="single" w:color="C4715A" w:sz="8" w:space="8"/>
        </w:pBdr>
        <w:spacing w:before="600" w:after="200"/>
      </w:pPr>
      <w:r>
        <w:rPr>
          <w:rFonts w:ascii="Inter" w:cs="Inter" w:eastAsia="Inter" w:hAnsi="Inter"/>
          <w:b/>
          <w:bCs/>
          <w:color w:val="F5F3EE"/>
          <w:sz w:val="44"/>
          <w:szCs w:val="44"/>
        </w:rPr>
        <w:t xml:space="preserve">02 — PALETTE &amp; SYSTÈME COLORIEL</w:t>
      </w:r>
    </w:p>
    <w:p>
      <w:pPr>
        <w:spacing w:before="440" w:after="140"/>
      </w:pPr>
      <w:r>
        <w:rPr>
          <w:rFonts w:ascii="Inter" w:cs="Inter" w:eastAsia="Inter" w:hAnsi="Inter"/>
          <w:b/>
          <w:bCs/>
          <w:color w:val="C4715A"/>
          <w:sz w:val="30"/>
          <w:szCs w:val="30"/>
        </w:rPr>
        <w:t xml:space="preserve">Fond sombre dominant — couleurs vives assumées</w:t>
      </w:r>
    </w:p>
    <w:p>
      <w:pPr>
        <w:spacing w:before="60" w:after="80"/>
        <w:jc w:val="left"/>
      </w:pPr>
      <w:r>
        <w:rPr>
          <w:rFonts w:ascii="Inter" w:cs="Inter" w:eastAsia="Inter" w:hAnsi="Inter"/>
          <w:color w:val="F5F3EE"/>
          <w:sz w:val="20"/>
          <w:szCs w:val="20"/>
        </w:rPr>
        <w:t xml:space="preserve">La palette MCG est construite sur un fond encre profond. Les illustrations et les cartes brillent dessus. Les accents UI sont vifs et lisibles. La texture papier est subtile — présente mais jamais envahissante.</w:t>
      </w:r>
    </w:p>
    <w:p>
      <w:pPr>
        <w:spacing w:before="280" w:after="100"/>
      </w:pPr>
      <w:r>
        <w:rPr>
          <w:rFonts w:ascii="Inter" w:cs="Inter" w:eastAsia="Inter" w:hAnsi="Inter"/>
          <w:b/>
          <w:bCs/>
          <w:color w:val="B8C4CC"/>
          <w:sz w:val="24"/>
          <w:szCs w:val="24"/>
        </w:rPr>
        <w:t xml:space="preserve">A. Couleurs de structure — fond, infrastructure, 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none" w:color="FFFFFF" w:sz="0"/>
              <w:left w:val="none" w:color="FFFFFF" w:sz="0"/>
              <w:bottom w:val="none" w:color="FFFFFF" w:sz="0"/>
              <w:right w:val="none" w:color="FFFFFF" w:sz="0"/>
            </w:tcBorders>
            <w:shd w:fill="0F0F1A"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Ink Deep</w:t>
            </w:r>
          </w:p>
          <w:p>
            <w:pPr>
              <w:spacing w:before="0" w:after="80"/>
              <w:jc w:val="left"/>
            </w:pPr>
            <w:r>
              <w:rPr>
                <w:rFonts w:ascii="Courier New" w:cs="Courier New" w:eastAsia="Courier New" w:hAnsi="Courier New"/>
                <w:color w:val="B8C4CC"/>
                <w:sz w:val="18"/>
                <w:szCs w:val="18"/>
              </w:rPr>
              <w:t xml:space="preserve">#0F0F1A</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Fond principal du site — la base de tout. Profond, pas noir absolu.</w:t>
            </w:r>
          </w:p>
        </w:tc>
      </w:tr>
      <w:tr>
        <w:tc>
          <w:tcPr>
            <w:tcW w:type="dxa" w:w="700"/>
            <w:tcBorders>
              <w:top w:val="none" w:color="FFFFFF" w:sz="0"/>
              <w:left w:val="none" w:color="FFFFFF" w:sz="0"/>
              <w:bottom w:val="none" w:color="FFFFFF" w:sz="0"/>
              <w:right w:val="none" w:color="FFFFFF" w:sz="0"/>
            </w:tcBorders>
            <w:shd w:fill="1A1A2E"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Ink Mid</w:t>
            </w:r>
          </w:p>
          <w:p>
            <w:pPr>
              <w:spacing w:before="0" w:after="80"/>
              <w:jc w:val="left"/>
            </w:pPr>
            <w:r>
              <w:rPr>
                <w:rFonts w:ascii="Courier New" w:cs="Courier New" w:eastAsia="Courier New" w:hAnsi="Courier New"/>
                <w:color w:val="B8C4CC"/>
                <w:sz w:val="18"/>
                <w:szCs w:val="18"/>
              </w:rPr>
              <w:t xml:space="preserve">#1A1A2E</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Fond secondaire — cards UI, panels, modals, sidebars.</w:t>
            </w:r>
          </w:p>
        </w:tc>
      </w:tr>
      <w:tr>
        <w:tc>
          <w:tcPr>
            <w:tcW w:type="dxa" w:w="700"/>
            <w:tcBorders>
              <w:top w:val="none" w:color="FFFFFF" w:sz="0"/>
              <w:left w:val="none" w:color="FFFFFF" w:sz="0"/>
              <w:bottom w:val="none" w:color="FFFFFF" w:sz="0"/>
              <w:right w:val="none" w:color="FFFFFF" w:sz="0"/>
            </w:tcBorders>
            <w:shd w:fill="252540"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Ink Light</w:t>
            </w:r>
          </w:p>
          <w:p>
            <w:pPr>
              <w:spacing w:before="0" w:after="80"/>
              <w:jc w:val="left"/>
            </w:pPr>
            <w:r>
              <w:rPr>
                <w:rFonts w:ascii="Courier New" w:cs="Courier New" w:eastAsia="Courier New" w:hAnsi="Courier New"/>
                <w:color w:val="B8C4CC"/>
                <w:sz w:val="18"/>
                <w:szCs w:val="18"/>
              </w:rPr>
              <w:t xml:space="preserve">#252540</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Hover states, surfaces interactives sur fond sombre.</w:t>
            </w:r>
          </w:p>
        </w:tc>
      </w:tr>
      <w:tr>
        <w:tc>
          <w:tcPr>
            <w:tcW w:type="dxa" w:w="700"/>
            <w:tcBorders>
              <w:top w:val="none" w:color="FFFFFF" w:sz="0"/>
              <w:left w:val="none" w:color="FFFFFF" w:sz="0"/>
              <w:bottom w:val="none" w:color="FFFFFF" w:sz="0"/>
              <w:right w:val="none" w:color="FFFFFF" w:sz="0"/>
            </w:tcBorders>
            <w:shd w:fill="F5F3EE"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Chalk</w:t>
            </w:r>
          </w:p>
          <w:p>
            <w:pPr>
              <w:spacing w:before="0" w:after="80"/>
              <w:jc w:val="left"/>
            </w:pPr>
            <w:r>
              <w:rPr>
                <w:rFonts w:ascii="Courier New" w:cs="Courier New" w:eastAsia="Courier New" w:hAnsi="Courier New"/>
                <w:color w:val="B8C4CC"/>
                <w:sz w:val="18"/>
                <w:szCs w:val="18"/>
              </w:rPr>
              <w:t xml:space="preserve">#F5F3EE</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Surface claire — zones d'illustration, layouts alternatifs clairs.</w:t>
            </w:r>
          </w:p>
        </w:tc>
      </w:tr>
      <w:tr>
        <w:tc>
          <w:tcPr>
            <w:tcW w:type="dxa" w:w="700"/>
            <w:tcBorders>
              <w:top w:val="none" w:color="FFFFFF" w:sz="0"/>
              <w:left w:val="none" w:color="FFFFFF" w:sz="0"/>
              <w:bottom w:val="none" w:color="FFFFFF" w:sz="0"/>
              <w:right w:val="none" w:color="FFFFFF" w:sz="0"/>
            </w:tcBorders>
            <w:shd w:fill="EDE8DF"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Linen</w:t>
            </w:r>
          </w:p>
          <w:p>
            <w:pPr>
              <w:spacing w:before="0" w:after="80"/>
              <w:jc w:val="left"/>
            </w:pPr>
            <w:r>
              <w:rPr>
                <w:rFonts w:ascii="Courier New" w:cs="Courier New" w:eastAsia="Courier New" w:hAnsi="Courier New"/>
                <w:color w:val="B8C4CC"/>
                <w:sz w:val="18"/>
                <w:szCs w:val="18"/>
              </w:rPr>
              <w:t xml:space="preserve">#EDE8DF</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Fond document, arrière-plans doux en mode clair.</w:t>
            </w:r>
          </w:p>
        </w:tc>
      </w:tr>
      <w:tr>
        <w:tc>
          <w:tcPr>
            <w:tcW w:type="dxa" w:w="700"/>
            <w:tcBorders>
              <w:top w:val="none" w:color="FFFFFF" w:sz="0"/>
              <w:left w:val="none" w:color="FFFFFF" w:sz="0"/>
              <w:bottom w:val="none" w:color="FFFFFF" w:sz="0"/>
              <w:right w:val="none" w:color="FFFFFF" w:sz="0"/>
            </w:tcBorders>
            <w:shd w:fill="B8C4CC"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Fog</w:t>
            </w:r>
          </w:p>
          <w:p>
            <w:pPr>
              <w:spacing w:before="0" w:after="80"/>
              <w:jc w:val="left"/>
            </w:pPr>
            <w:r>
              <w:rPr>
                <w:rFonts w:ascii="Courier New" w:cs="Courier New" w:eastAsia="Courier New" w:hAnsi="Courier New"/>
                <w:color w:val="B8C4CC"/>
                <w:sz w:val="18"/>
                <w:szCs w:val="18"/>
              </w:rPr>
              <w:t xml:space="preserve">#B8C4CC</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Bordures, labels discrets, texte secondaire.</w:t>
            </w:r>
          </w:p>
        </w:tc>
      </w:tr>
    </w:tbl>
    <w:p>
      <w:pPr>
        <w:spacing w:before="280" w:after="100"/>
      </w:pPr>
      <w:r>
        <w:rPr>
          <w:rFonts w:ascii="Inter" w:cs="Inter" w:eastAsia="Inter" w:hAnsi="Inter"/>
          <w:b/>
          <w:bCs/>
          <w:color w:val="B8C4CC"/>
          <w:sz w:val="24"/>
          <w:szCs w:val="24"/>
        </w:rPr>
        <w:t xml:space="preserve">B. Couleurs de marque — accent et identité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none" w:color="FFFFFF" w:sz="0"/>
              <w:left w:val="none" w:color="FFFFFF" w:sz="0"/>
              <w:bottom w:val="none" w:color="FFFFFF" w:sz="0"/>
              <w:right w:val="none" w:color="FFFFFF" w:sz="0"/>
            </w:tcBorders>
            <w:shd w:fill="C4715A"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Clay</w:t>
            </w:r>
          </w:p>
          <w:p>
            <w:pPr>
              <w:spacing w:before="0" w:after="80"/>
              <w:jc w:val="left"/>
            </w:pPr>
            <w:r>
              <w:rPr>
                <w:rFonts w:ascii="Courier New" w:cs="Courier New" w:eastAsia="Courier New" w:hAnsi="Courier New"/>
                <w:color w:val="B8C4CC"/>
                <w:sz w:val="18"/>
                <w:szCs w:val="18"/>
              </w:rPr>
              <w:t xml:space="preserve">#C4715A</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Accent principal — CTAs, identité, énergie, action. La couleur MCG.</w:t>
            </w:r>
          </w:p>
        </w:tc>
      </w:tr>
      <w:tr>
        <w:tc>
          <w:tcPr>
            <w:tcW w:type="dxa" w:w="700"/>
            <w:tcBorders>
              <w:top w:val="none" w:color="FFFFFF" w:sz="0"/>
              <w:left w:val="none" w:color="FFFFFF" w:sz="0"/>
              <w:bottom w:val="none" w:color="FFFFFF" w:sz="0"/>
              <w:right w:val="none" w:color="FFFFFF" w:sz="0"/>
            </w:tcBorders>
            <w:shd w:fill="5C7A8B"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Slate</w:t>
            </w:r>
          </w:p>
          <w:p>
            <w:pPr>
              <w:spacing w:before="0" w:after="80"/>
              <w:jc w:val="left"/>
            </w:pPr>
            <w:r>
              <w:rPr>
                <w:rFonts w:ascii="Courier New" w:cs="Courier New" w:eastAsia="Courier New" w:hAnsi="Courier New"/>
                <w:color w:val="B8C4CC"/>
                <w:sz w:val="18"/>
                <w:szCs w:val="18"/>
              </w:rPr>
              <w:t xml:space="preserve">#5C7A8B</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Accent secondaire — info, navigation, états posés.</w:t>
            </w:r>
          </w:p>
        </w:tc>
      </w:tr>
    </w:tbl>
    <w:p>
      <w:pPr>
        <w:spacing w:before="280" w:after="100"/>
      </w:pPr>
      <w:r>
        <w:rPr>
          <w:rFonts w:ascii="Inter" w:cs="Inter" w:eastAsia="Inter" w:hAnsi="Inter"/>
          <w:b/>
          <w:bCs/>
          <w:color w:val="B8C4CC"/>
          <w:sz w:val="24"/>
          <w:szCs w:val="24"/>
        </w:rPr>
        <w:t xml:space="preserve">C. Palette illustrative étendue — pour les artworks et l'UI de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none" w:color="FFFFFF" w:sz="0"/>
              <w:left w:val="none" w:color="FFFFFF" w:sz="0"/>
              <w:bottom w:val="none" w:color="FFFFFF" w:sz="0"/>
              <w:right w:val="none" w:color="FFFFFF" w:sz="0"/>
            </w:tcBorders>
            <w:shd w:fill="6B8F71"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Sage</w:t>
            </w:r>
          </w:p>
          <w:p>
            <w:pPr>
              <w:spacing w:before="0" w:after="80"/>
              <w:jc w:val="left"/>
            </w:pPr>
            <w:r>
              <w:rPr>
                <w:rFonts w:ascii="Courier New" w:cs="Courier New" w:eastAsia="Courier New" w:hAnsi="Courier New"/>
                <w:color w:val="B8C4CC"/>
                <w:sz w:val="18"/>
                <w:szCs w:val="18"/>
              </w:rPr>
              <w:t xml:space="preserve">#6B8F71</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Nature, calme, backgrounds verts.</w:t>
            </w:r>
          </w:p>
        </w:tc>
      </w:tr>
      <w:tr>
        <w:tc>
          <w:tcPr>
            <w:tcW w:type="dxa" w:w="700"/>
            <w:tcBorders>
              <w:top w:val="none" w:color="FFFFFF" w:sz="0"/>
              <w:left w:val="none" w:color="FFFFFF" w:sz="0"/>
              <w:bottom w:val="none" w:color="FFFFFF" w:sz="0"/>
              <w:right w:val="none" w:color="FFFFFF" w:sz="0"/>
            </w:tcBorders>
            <w:shd w:fill="D4A84B"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Straw</w:t>
            </w:r>
          </w:p>
          <w:p>
            <w:pPr>
              <w:spacing w:before="0" w:after="80"/>
              <w:jc w:val="left"/>
            </w:pPr>
            <w:r>
              <w:rPr>
                <w:rFonts w:ascii="Courier New" w:cs="Courier New" w:eastAsia="Courier New" w:hAnsi="Courier New"/>
                <w:color w:val="B8C4CC"/>
                <w:sz w:val="18"/>
                <w:szCs w:val="18"/>
              </w:rPr>
              <w:t xml:space="preserve">#D4A84B</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Lumière, accent chaud, rareté Legendary.</w:t>
            </w:r>
          </w:p>
        </w:tc>
      </w:tr>
      <w:tr>
        <w:tc>
          <w:tcPr>
            <w:tcW w:type="dxa" w:w="700"/>
            <w:tcBorders>
              <w:top w:val="none" w:color="FFFFFF" w:sz="0"/>
              <w:left w:val="none" w:color="FFFFFF" w:sz="0"/>
              <w:bottom w:val="none" w:color="FFFFFF" w:sz="0"/>
              <w:right w:val="none" w:color="FFFFFF" w:sz="0"/>
            </w:tcBorders>
            <w:shd w:fill="8B7FAB" w:val="clear"/>
            <w:tcMar>
              <w:top w:type="dxa" w:w="80"/>
              <w:left w:type="dxa" w:w="80"/>
              <w:bottom w:type="dxa" w:w="80"/>
              <w:right w:type="dxa" w:w="80"/>
            </w:tcMar>
          </w:tcPr>
          <w:p>
            <w:pPr>
              <w:spacing w:before="0" w:after="80"/>
              <w:jc w:val="left"/>
            </w:pPr>
            <w:r>
              <w:rPr>
                <w:sz w:val="36"/>
                <w:szCs w:val="36"/>
              </w:rPr>
              <w:t xml:space="preserve"> </w:t>
            </w:r>
          </w:p>
        </w:tc>
        <w:tc>
          <w:tcPr>
            <w:tcW w:type="dxa" w:w="220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b/>
                <w:bCs/>
                <w:color w:val="F5F3EE"/>
                <w:sz w:val="22"/>
                <w:szCs w:val="22"/>
              </w:rPr>
              <w:t xml:space="preserve">Lavender</w:t>
            </w:r>
          </w:p>
          <w:p>
            <w:pPr>
              <w:spacing w:before="0" w:after="80"/>
              <w:jc w:val="left"/>
            </w:pPr>
            <w:r>
              <w:rPr>
                <w:rFonts w:ascii="Courier New" w:cs="Courier New" w:eastAsia="Courier New" w:hAnsi="Courier New"/>
                <w:color w:val="B8C4CC"/>
                <w:sz w:val="18"/>
                <w:szCs w:val="18"/>
              </w:rPr>
              <w:t xml:space="preserve">#8B7FAB</w:t>
            </w:r>
          </w:p>
        </w:tc>
        <w:tc>
          <w:tcPr>
            <w:tcW w:type="dxa" w:w="6460"/>
            <w:tcBorders>
              <w:top w:val="none" w:color="FFFFFF" w:sz="0"/>
              <w:left w:val="single" w:color="3D3D4E" w:sz="1"/>
              <w:bottom w:val="none" w:color="FFFFFF" w:sz="0"/>
              <w:right w:val="none" w:color="FFFFFF" w:sz="0"/>
            </w:tcBorders>
            <w:tcMar>
              <w:top w:type="dxa" w:w="80"/>
              <w:left w:type="dxa" w:w="160"/>
              <w:bottom w:type="dxa" w:w="80"/>
              <w:right w:type="dxa" w:w="80"/>
            </w:tcMar>
          </w:tcPr>
          <w:p>
            <w:pPr>
              <w:spacing w:before="0" w:after="80"/>
              <w:jc w:val="left"/>
            </w:pPr>
            <w:r>
              <w:rPr>
                <w:rFonts w:ascii="Inter" w:cs="Inter" w:eastAsia="Inter" w:hAnsi="Inter"/>
                <w:color w:val="B8C4CC"/>
                <w:sz w:val="19"/>
                <w:szCs w:val="19"/>
              </w:rPr>
              <w:t xml:space="preserve">Tonalité douce, rareté Epic.</w:t>
            </w:r>
          </w:p>
        </w:tc>
      </w:tr>
    </w:tbl>
    <w:p>
      <w:pPr>
        <w:spacing w:before="280" w:after="100"/>
      </w:pPr>
      <w:r>
        <w:rPr>
          <w:rFonts w:ascii="Inter" w:cs="Inter" w:eastAsia="Inter" w:hAnsi="Inter"/>
          <w:b/>
          <w:bCs/>
          <w:color w:val="B8C4CC"/>
          <w:sz w:val="24"/>
          <w:szCs w:val="24"/>
        </w:rPr>
        <w:t xml:space="preserve">D. Système de rareté — couleurs de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TIER</w:t>
            </w:r>
          </w:p>
        </w:tc>
        <w:tc>
          <w:tcPr>
            <w:tcW w:type="dxa" w:w="22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COULEUR HEX</w:t>
            </w:r>
          </w:p>
        </w:tc>
        <w:tc>
          <w:tcPr>
            <w:tcW w:type="dxa" w:w="49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USAGE</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B8C4CC"/>
                <w:sz w:val="19"/>
                <w:szCs w:val="19"/>
              </w:rPr>
              <w:t xml:space="preserve">Common</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#9BA8A3</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Gris froid neutre — la base solide</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6B8F71"/>
                <w:sz w:val="19"/>
                <w:szCs w:val="19"/>
              </w:rPr>
              <w:t xml:space="preserve">Uncommon</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#6B8F71</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Sage — premier signal de distinction</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5C7A8B"/>
                <w:sz w:val="19"/>
                <w:szCs w:val="19"/>
              </w:rPr>
              <w:t xml:space="preserve">Rare</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#5C7A8B</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Slate — présence affirmée</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8B7FAB"/>
                <w:sz w:val="19"/>
                <w:szCs w:val="19"/>
              </w:rPr>
              <w:t xml:space="preserve">Epic</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#8B7FAB</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Lavande — forte désirabilité</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D4A84B"/>
                <w:sz w:val="19"/>
                <w:szCs w:val="19"/>
              </w:rPr>
              <w:t xml:space="preserve">Legendary</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#D4A84B</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Straw lumineux — objet de charme fort</w:t>
            </w:r>
          </w:p>
        </w:tc>
      </w:tr>
      <w:tr>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C4715A"/>
                <w:sz w:val="19"/>
                <w:szCs w:val="19"/>
              </w:rPr>
              <w:t xml:space="preserve">Mythic</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Spectral holo</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Traitement illustré exceptionnel</w:t>
            </w:r>
          </w:p>
        </w:tc>
      </w:tr>
    </w:tbl>
    <w:p>
      <w:pPr>
        <w:spacing w:before="80" w:after="80"/>
      </w:pPr>
      <w:r>
        <w:rPr>
          <w:rFonts w:ascii="Inter" w:cs="Inter" w:eastAsia="Inter" w:hAnsi="Inter"/>
          <w:b/>
          <w:bCs/>
          <w:color w:val="C4715A"/>
          <w:sz w:val="20"/>
          <w:szCs w:val="20"/>
        </w:rPr>
        <w:t xml:space="preserve">→  </w:t>
      </w:r>
      <w:r>
        <w:rPr>
          <w:rFonts w:ascii="Inter" w:cs="Inter" w:eastAsia="Inter" w:hAnsi="Inter"/>
          <w:i/>
          <w:iCs/>
          <w:color w:val="B8C4CC"/>
          <w:sz w:val="20"/>
          <w:szCs w:val="20"/>
        </w:rPr>
        <w:t xml:space="preserve">La rareté s'exprime d'abord par la qualité de l'illustration — la couleur de signal est secondaire.</w:t>
      </w:r>
    </w:p>
    <w:p>
      <w:pPr>
        <w:spacing w:before="280" w:after="100"/>
      </w:pPr>
      <w:r>
        <w:rPr>
          <w:rFonts w:ascii="Inter" w:cs="Inter" w:eastAsia="Inter" w:hAnsi="Inter"/>
          <w:b/>
          <w:bCs/>
          <w:color w:val="B8C4CC"/>
          <w:sz w:val="24"/>
          <w:szCs w:val="24"/>
        </w:rPr>
        <w:t xml:space="preserve">E. Règles d'usage couleur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FAIRE</w:t>
            </w:r>
          </w:p>
        </w:tc>
        <w:tc>
          <w:tcPr>
            <w:tcW w:type="dxa" w:w="47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ÉVITER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Fond Ink Deep sur toutes les pages principales du site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Obsidian/Carbon/noir absolu sans texture — trop mort</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Clay pour les CTAs et moments d'identité forts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Violet/cyan web3, néons, glassmorphism</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Couleurs vives sur les illustrations et badges de rareté</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Saturation cartoon agressive ou pastels nursery</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Grain papier très subtil (opacity 3–6%) sur les surfaces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Texture papier forte qui écrase le contenu</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Contraste texte/fond toujours ≥ 4.5:1 (WCAG AA)</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Multiplier les accents — max 2 couleurs actives par surface</w:t>
            </w:r>
          </w:p>
        </w:tc>
      </w:tr>
    </w:tbl>
    <w:p>
      <w:pPr>
        <w:pBdr>
          <w:bottom w:val="single" w:color="C4715A" w:sz="8" w:space="8"/>
        </w:pBdr>
        <w:spacing w:before="600" w:after="200"/>
      </w:pPr>
      <w:r>
        <w:rPr>
          <w:rFonts w:ascii="Inter" w:cs="Inter" w:eastAsia="Inter" w:hAnsi="Inter"/>
          <w:b/>
          <w:bCs/>
          <w:color w:val="F5F3EE"/>
          <w:sz w:val="44"/>
          <w:szCs w:val="44"/>
        </w:rPr>
        <w:t xml:space="preserve">03 — TYPOGRAPHIE</w:t>
      </w:r>
    </w:p>
    <w:p>
      <w:pPr>
        <w:spacing w:before="440" w:after="140"/>
      </w:pPr>
      <w:r>
        <w:rPr>
          <w:rFonts w:ascii="Inter" w:cs="Inter" w:eastAsia="Inter" w:hAnsi="Inter"/>
          <w:b/>
          <w:bCs/>
          <w:color w:val="C4715A"/>
          <w:sz w:val="30"/>
          <w:szCs w:val="30"/>
        </w:rPr>
        <w:t xml:space="preserve">Sobre, lisible, au service de l'illustration et de l'énergie TCG</w:t>
      </w:r>
    </w:p>
    <w:p>
      <w:pPr>
        <w:spacing w:before="60" w:after="80"/>
        <w:jc w:val="left"/>
      </w:pPr>
      <w:r>
        <w:rPr>
          <w:rFonts w:ascii="Inter" w:cs="Inter" w:eastAsia="Inter" w:hAnsi="Inter"/>
          <w:color w:val="F5F3EE"/>
          <w:sz w:val="20"/>
          <w:szCs w:val="20"/>
        </w:rPr>
        <w:t xml:space="preserve">La typographie MCG supporte l'illustration sans la concurrencer. Elle est nette, hiérarchisée, avec du caractère sur les titres — jamais décorative au point d'empiéter sur les zones de dessin.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1400"/>
        <w:gridCol w:w="2560"/>
      </w:tblGrid>
      <w:tr>
        <w:trPr>
          <w:tblHeader/>
        </w:trPr>
        <w:tc>
          <w:tcPr>
            <w:tcW w:type="dxa" w:w="2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USAGE</w:t>
            </w:r>
          </w:p>
        </w:tc>
        <w:tc>
          <w:tcPr>
            <w:tcW w:type="dxa" w:w="2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FAMILLE</w:t>
            </w:r>
          </w:p>
        </w:tc>
        <w:tc>
          <w:tcPr>
            <w:tcW w:type="dxa" w:w="1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POIDS</w:t>
            </w:r>
          </w:p>
        </w:tc>
        <w:tc>
          <w:tcPr>
            <w:tcW w:type="dxa" w:w="1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TAILLE REF</w:t>
            </w:r>
          </w:p>
        </w:tc>
        <w:tc>
          <w:tcPr>
            <w:tcW w:type="dxa" w:w="25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NOTES</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Wordmark / Titre marque</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Inter / Barlow Condensed</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Black 900</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48–72px</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Covers, headers majeurs — fort et lisible</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Titres de section UI</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Inter</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Bold 700</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24–32px</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Navigation, titres UI, labels de section</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Corps de texte</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Inter</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Regular 400</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14–16px</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Descriptions, corps, tooltips</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Metadata / codes</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JetBrains Mono</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Medium 500</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12–14px</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Set codes, numéros, données chiffrées</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Badges / labels</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Inter / Barlow Condensed</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SemiBold 600</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11–13px</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Badges de rareté, set codes, labels courts</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Flavor text</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Inter</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Italic 400</w:t>
            </w:r>
          </w:p>
        </w:tc>
        <w:tc>
          <w:tcPr>
            <w:tcW w:type="dxa" w:w="1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13–15px</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Captions de carte — ton mémorable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FAIRE</w:t>
            </w:r>
          </w:p>
        </w:tc>
        <w:tc>
          <w:tcPr>
            <w:tcW w:type="dxa" w:w="47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ÉVITER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Graisses contrastées — Black pour titres, Regular pour corps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Plus de 3 familles sur une même surface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Monospace pour toutes les données chiffrées et codes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Italique décoratif sans intention précise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Majuscules pour labels courts, badges, set codes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Condensed comme fond ou pattern</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Hiérarchie de taille claire — min 4px d'écart entre niveaux</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Texte qui empiète sur la zone illustrée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Chalk ou Fog pour le texte sur fond ink</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Corps en gras — réservé aux titres uniquement</w:t>
            </w:r>
          </w:p>
        </w:tc>
      </w:tr>
    </w:tbl>
    <w:p>
      <w:pPr>
        <w:pBdr>
          <w:bottom w:val="single" w:color="C4715A" w:sz="8" w:space="8"/>
        </w:pBdr>
        <w:spacing w:before="600" w:after="200"/>
      </w:pPr>
      <w:r>
        <w:rPr>
          <w:rFonts w:ascii="Inter" w:cs="Inter" w:eastAsia="Inter" w:hAnsi="Inter"/>
          <w:b/>
          <w:bCs/>
          <w:color w:val="F5F3EE"/>
          <w:sz w:val="44"/>
          <w:szCs w:val="44"/>
        </w:rPr>
        <w:t xml:space="preserve">04 — PILIERS VISUELS</w:t>
      </w:r>
    </w:p>
    <w:p>
      <w:pPr>
        <w:spacing w:before="440" w:after="140"/>
      </w:pPr>
      <w:r>
        <w:rPr>
          <w:rFonts w:ascii="Inter" w:cs="Inter" w:eastAsia="Inter" w:hAnsi="Inter"/>
          <w:b/>
          <w:bCs/>
          <w:color w:val="C4715A"/>
          <w:sz w:val="30"/>
          <w:szCs w:val="30"/>
        </w:rPr>
        <w:t xml:space="preserve">Les 6 principes qui guident toutes les décisions créatives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w:t>
            </w:r>
          </w:p>
        </w:tc>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PILIER</w:t>
            </w:r>
          </w:p>
        </w:tc>
        <w:tc>
          <w:tcPr>
            <w:tcW w:type="dxa" w:w="65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PRINCIPE</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01</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TCG ENERGY FIRST</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L'excitation du jeu de cartes est le moteur. Chaque écran, chaque interaction doit donner envie d'ouvrir un pack, de collectionner, de revenir.</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02</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ILLUSTRATION EXPRESSIVE</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Trait moyen, expressif, couleurs vives — pas fine-line sage. Les artworks ont du caractère. Le dessin est l'identité.</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03</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FOND SOMBRE DOMINANT</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Ink Deep sur toutes les surfaces principales. Les cartes et illustrations brillent dessus. L'UI s'efface derrière les objets.</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04</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TEXTURE ORGANIQUE SUBTILE</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Grain papier à 3–6% d'opacité sur les surfaces. On le sent sans le voir. Donne de la chaleur sans effet lourd.</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05</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INTERNET-NATIVE INTELLIGENCE</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Culture meme intégrée avec subtilité. Références discrètes, humour deadpan, pas de clin d'œil forcé.</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06</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SCALABILITÉ SYSTÉMIQUE</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La DA survit aux nouvelles séries, variants, éditions. Vocabulaire stable. Un nouveau set est immédiatement reconnaissable comme MCG.</w:t>
            </w:r>
          </w:p>
        </w:tc>
      </w:tr>
    </w:tbl>
    <w:p>
      <w:pPr>
        <w:pBdr>
          <w:bottom w:val="single" w:color="C4715A" w:sz="8" w:space="8"/>
        </w:pBdr>
        <w:spacing w:before="600" w:after="200"/>
      </w:pPr>
      <w:r>
        <w:rPr>
          <w:rFonts w:ascii="Inter" w:cs="Inter" w:eastAsia="Inter" w:hAnsi="Inter"/>
          <w:b/>
          <w:bCs/>
          <w:color w:val="F5F3EE"/>
          <w:sz w:val="44"/>
          <w:szCs w:val="44"/>
        </w:rPr>
        <w:t xml:space="preserve">05 — MATIÈRES &amp; FINITIONS</w:t>
      </w:r>
    </w:p>
    <w:p>
      <w:pPr>
        <w:spacing w:before="440" w:after="140"/>
      </w:pPr>
      <w:r>
        <w:rPr>
          <w:rFonts w:ascii="Inter" w:cs="Inter" w:eastAsia="Inter" w:hAnsi="Inter"/>
          <w:b/>
          <w:bCs/>
          <w:color w:val="C4715A"/>
          <w:sz w:val="30"/>
          <w:szCs w:val="30"/>
        </w:rPr>
        <w:t xml:space="preserve">La matière amplifie l'illustration — elle ne la remplace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MATIÈRE</w:t>
            </w:r>
          </w:p>
        </w:tc>
        <w:tc>
          <w:tcPr>
            <w:tcW w:type="dxa" w:w="4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PRINCIPE</w:t>
            </w:r>
          </w:p>
        </w:tc>
        <w:tc>
          <w:tcPr>
            <w:tcW w:type="dxa" w:w="2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TIERS CONCERNÉS</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Papier mat légèrement texturé</w:t>
            </w:r>
          </w:p>
        </w:tc>
        <w:tc>
          <w:tcPr>
            <w:tcW w:type="dxa" w:w="4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Base. Sensation d'une vraie carte imprimée. Le mat laisse respirer le dessin.</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Tous</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Encre dense + vernis spot</w:t>
            </w:r>
          </w:p>
        </w:tc>
        <w:tc>
          <w:tcPr>
            <w:tcW w:type="dxa" w:w="4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Vernis spot sur personnage central ou détail clé. Jamais full coverage.</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Uncommon+</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Foil localisé</w:t>
            </w:r>
          </w:p>
        </w:tc>
        <w:tc>
          <w:tcPr>
            <w:tcW w:type="dxa" w:w="4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Réservé aux raretés hautes. Précis et intentionnel — détail, pas fond.</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Epic+</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Holo spectral contrôlé</w:t>
            </w:r>
          </w:p>
        </w:tc>
        <w:tc>
          <w:tcPr>
            <w:tcW w:type="dxa" w:w="4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Jamais full rainbow. Le spectral semble appartenir à l'illustration.</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Legendary+</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Texture papier craft</w:t>
            </w:r>
          </w:p>
        </w:tc>
        <w:tc>
          <w:tcPr>
            <w:tcW w:type="dxa" w:w="4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Pour éditions spéciales — sensation carnet, zine, objet artisanal.</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Special editions</w:t>
            </w:r>
          </w:p>
        </w:tc>
      </w:tr>
    </w:tbl>
    <w:p>
      <w:pPr>
        <w:pBdr>
          <w:bottom w:val="single" w:color="C4715A" w:sz="8" w:space="8"/>
        </w:pBdr>
        <w:spacing w:before="600" w:after="200"/>
      </w:pPr>
      <w:r>
        <w:rPr>
          <w:rFonts w:ascii="Inter" w:cs="Inter" w:eastAsia="Inter" w:hAnsi="Inter"/>
          <w:b/>
          <w:bCs/>
          <w:color w:val="F5F3EE"/>
          <w:sz w:val="44"/>
          <w:szCs w:val="44"/>
        </w:rPr>
        <w:t xml:space="preserve">06 — DO / DON'T GLOBAUX</w:t>
      </w:r>
    </w:p>
    <w:p>
      <w:pPr>
        <w:spacing w:before="440" w:after="140"/>
      </w:pPr>
      <w:r>
        <w:rPr>
          <w:rFonts w:ascii="Inter" w:cs="Inter" w:eastAsia="Inter" w:hAnsi="Inter"/>
          <w:b/>
          <w:bCs/>
          <w:color w:val="C4715A"/>
          <w:sz w:val="30"/>
          <w:szCs w:val="30"/>
        </w:rPr>
        <w:t xml:space="preserve">Esthétique générale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FAIRE</w:t>
            </w:r>
          </w:p>
        </w:tc>
        <w:tc>
          <w:tcPr>
            <w:tcW w:type="dxa" w:w="47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ÉVITER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Fond Ink Deep — les cartes sont les stars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Dark premium froid sans vie ni couleur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Couleurs vives et assumées sur les illustrations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Saturation criarde ou cartoon promo mobile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Trait expressif avec du caractère — pas seulement propre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Fine-line ultra-propre sans énergie ni personnalité</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Humor calme et deadpan — intégré à la composition</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Références meme forcées ou maladroites</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Énergie TCG : excitation du reveal, satisfaction de la collection</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SaaS/dashboard/application de gestion technique</w:t>
            </w:r>
          </w:p>
        </w:tc>
      </w:tr>
    </w:tbl>
    <w:p>
      <w:pPr>
        <w:spacing w:before="440" w:after="140"/>
      </w:pPr>
      <w:r>
        <w:rPr>
          <w:rFonts w:ascii="Inter" w:cs="Inter" w:eastAsia="Inter" w:hAnsi="Inter"/>
          <w:b/>
          <w:bCs/>
          <w:color w:val="C4715A"/>
          <w:sz w:val="30"/>
          <w:szCs w:val="30"/>
        </w:rPr>
        <w:t xml:space="preserve">Illustration &amp; artwork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FAIRE</w:t>
            </w:r>
          </w:p>
        </w:tc>
        <w:tc>
          <w:tcPr>
            <w:tcW w:type="dxa" w:w="47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ÉVITER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Trait moyen expressif — entre sketch assumé et dessin propre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Fine-line ultra-sage sans énergie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Couleurs vives plates ou légèrement texturées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Rendu 3D générique ou photo-manipulation</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Personnages avec expression et présence forte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Abstraction molle sans sujet identifiable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Compositions dynamiques — pas statiques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Dark fantasy médiévale hors univers MCG</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Texture papier légère sur le fond des artworks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iCs/>
                <w:color w:val="B8C4CC"/>
                <w:sz w:val="19"/>
                <w:szCs w:val="19"/>
              </w:rPr>
              <w:t xml:space="preserve">Stock photo ou collage sans cohérence</w:t>
            </w:r>
          </w:p>
        </w:tc>
      </w:tr>
    </w:tbl>
    <w:p>
      <w:pPr>
        <w:pBdr>
          <w:bottom w:val="single" w:color="C4715A" w:sz="8" w:space="8"/>
        </w:pBdr>
        <w:spacing w:before="600" w:after="200"/>
      </w:pPr>
      <w:r>
        <w:rPr>
          <w:rFonts w:ascii="Inter" w:cs="Inter" w:eastAsia="Inter" w:hAnsi="Inter"/>
          <w:b/>
          <w:bCs/>
          <w:color w:val="F5F3EE"/>
          <w:sz w:val="44"/>
          <w:szCs w:val="44"/>
        </w:rPr>
        <w:t xml:space="preserve">07 — VISION V1 / V2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VERSION</w:t>
            </w:r>
          </w:p>
        </w:tc>
        <w:tc>
          <w:tcPr>
            <w:tcW w:type="dxa" w:w="32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OBJECTIF</w:t>
            </w:r>
          </w:p>
        </w:tc>
        <w:tc>
          <w:tcPr>
            <w:tcW w:type="dxa" w:w="49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pPr>
              <w:jc w:val="left"/>
            </w:pPr>
            <w:r>
              <w:rPr>
                <w:rFonts w:ascii="Inter" w:cs="Inter" w:eastAsia="Inter" w:hAnsi="Inter"/>
                <w:b/>
                <w:bCs/>
                <w:i w:val="false"/>
                <w:iCs w:val="false"/>
                <w:color w:val="F5F3EE"/>
                <w:sz w:val="19"/>
                <w:szCs w:val="19"/>
              </w:rPr>
              <w:t xml:space="preserve">LIVRABLES CLÉS</w:t>
            </w:r>
          </w:p>
        </w:tc>
      </w:tr>
      <w:tr>
        <w:tc>
          <w:tcPr>
            <w:tcW w:type="dxa" w:w="1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C4715A"/>
                <w:sz w:val="19"/>
                <w:szCs w:val="19"/>
              </w:rPr>
              <w:t xml:space="preserve">V1</w:t>
            </w:r>
          </w:p>
        </w:tc>
        <w:tc>
          <w:tcPr>
            <w:tcW w:type="dxa" w:w="3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Univers &amp; identité — poser la DA, la cohérence collectible, les bases TCG</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Palette, typo, frame carte, booster, home/packs/collection/reveal</w:t>
            </w:r>
          </w:p>
        </w:tc>
      </w:tr>
      <w:tr>
        <w:tc>
          <w:tcPr>
            <w:tcW w:type="dxa" w:w="1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D4A84B"/>
                <w:sz w:val="19"/>
                <w:szCs w:val="19"/>
              </w:rPr>
              <w:t xml:space="preserve">V2</w:t>
            </w:r>
          </w:p>
        </w:tc>
        <w:tc>
          <w:tcPr>
            <w:tcW w:type="dxa" w:w="3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Élévation marque — univers reconnaissable, variants, sets saisonniers</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Personnages iconiques, backs de set uniques, binder avancé, profil collectionneur</w:t>
            </w:r>
          </w:p>
        </w:tc>
      </w:tr>
      <w:tr>
        <w:tc>
          <w:tcPr>
            <w:tcW w:type="dxa" w:w="1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bCs/>
                <w:i w:val="false"/>
                <w:iCs w:val="false"/>
                <w:color w:val="8B7FAB"/>
                <w:sz w:val="19"/>
                <w:szCs w:val="19"/>
              </w:rPr>
              <w:t xml:space="preserve">V3</w:t>
            </w:r>
          </w:p>
        </w:tc>
        <w:tc>
          <w:tcPr>
            <w:tcW w:type="dxa" w:w="3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Univers complet — éditions spéciales, chase visuals, lore léger, print réel</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pPr>
              <w:jc w:val="left"/>
            </w:pPr>
            <w:r>
              <w:rPr>
                <w:rFonts w:ascii="Inter" w:cs="Inter" w:eastAsia="Inter" w:hAnsi="Inter"/>
                <w:b w:val="false"/>
                <w:bCs w:val="false"/>
                <w:i w:val="false"/>
                <w:iCs w:val="false"/>
                <w:color w:val="F5F3EE"/>
                <w:sz w:val="19"/>
                <w:szCs w:val="19"/>
              </w:rPr>
              <w:t xml:space="preserve">Master sets, numbered editions, showroom collection, reveal premium multi-stage</w:t>
            </w:r>
          </w:p>
        </w:tc>
      </w:tr>
    </w:tbl>
    <w:p>
      <w:pPr>
        <w:pBdr>
          <w:bottom w:val="single" w:color="3D3D4E" w:sz="2" w:space="1"/>
        </w:pBdr>
        <w:spacing w:before="200" w:after="200"/>
      </w:pPr>
      <w:r>
        <w:t xml:space="preserve"/>
      </w:r>
    </w:p>
    <w:p>
      <w:pPr>
        <w:spacing w:before="40" w:after="0"/>
        <w:jc w:val="center"/>
      </w:pPr>
      <w:r>
        <w:rPr>
          <w:rFonts w:ascii="Courier New" w:cs="Courier New" w:eastAsia="Courier New" w:hAnsi="Courier New"/>
          <w:color w:val="3D3D4E"/>
          <w:sz w:val="16"/>
          <w:szCs w:val="16"/>
        </w:rPr>
        <w:t xml:space="preserve">MCG — MEME CARD GAME  ·  Brand Guidelines V2  ·  CONFIDENTIEL — USAGE INTERNE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2026-03-13T12:35:32.778Z</dcterms:created>
  <dcterms:modified xsi:type="dcterms:W3CDTF">2026-03-13T12:35:32.779Z</dcterms:modified>
</cp:coreProperties>
</file>

<file path=docProps/custom.xml><?xml version="1.0" encoding="utf-8"?>
<Properties xmlns="http://schemas.openxmlformats.org/officeDocument/2006/custom-properties" xmlns:vt="http://schemas.openxmlformats.org/officeDocument/2006/docPropsVTypes"/>
</file>