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left"/>
      </w:pPr>
      <w:r>
        <w:t>COINAGE — PRODUIT / MONÉTISATION</w:t>
      </w:r>
    </w:p>
    <w:p>
      <w:pPr>
        <w:pStyle w:val="TitleCustom"/>
      </w:pPr>
      <w:r>
        <w:t>Community Cosmetics</w:t>
      </w:r>
    </w:p>
    <w:p>
      <w:pPr>
        <w:pStyle w:val="TitleCustom"/>
      </w:pPr>
      <w:r>
        <w:t>&amp; Skin Economy</w:t>
      </w:r>
    </w:p>
    <w:p>
      <w:pPr>
        <w:pStyle w:val="SubtitleCustom"/>
      </w:pPr>
      <w:r>
        <w:t>Document de présentation — vision, modèle économique, UX et cadre de production</w:t>
      </w:r>
    </w:p>
    <w:tbl>
      <w:tblPr>
        <w:tblW w:type="auto" w:w="0"/>
        <w:jc w:val="center"/>
        <w:tblLook w:firstColumn="1" w:firstRow="1" w:lastColumn="0" w:lastRow="0" w:noHBand="0" w:noVBand="1" w:val="04A0"/>
      </w:tblPr>
      <w:tblGrid>
        <w:gridCol w:w="9972"/>
      </w:tblGrid>
      <w:tr>
        <w:tc>
          <w:tcPr>
            <w:tcW w:type="dxa" w:w="9972"/>
            <w:shd w:fill="EEF4FB"/>
            <w:vAlign w:val="center"/>
          </w:tcPr>
          <w:p>
            <w:pPr>
              <w:jc w:val="left"/>
            </w:pPr>
            <w:r/>
            <w:r>
              <w:rPr>
                <w:rFonts w:ascii="Aptos" w:hAnsi="Aptos"/>
                <w:b w:val="0"/>
                <w:sz w:val="21"/>
              </w:rPr>
              <w:t>Objectif</w:t>
              <w:br/>
              <w:t>Créer une couche de cosmétiques communautaires liée aux tokens/planètes, sans impact gameplay, qui renforce l’identité des factions et ouvre une monétisation durable.</w:t>
            </w:r>
          </w:p>
        </w:tc>
      </w:tr>
      <w:tr>
        <w:tc>
          <w:tcPr>
            <w:tcW w:type="dxa" w:w="9972"/>
            <w:shd w:fill="F7FAFE"/>
            <w:vAlign w:val="center"/>
          </w:tcPr>
          <w:p>
            <w:r>
              <w:t>Principe</w:t>
              <w:br/>
              <w:t>Chaque planète peut avoir ses propres packs de skins (troupes sol, troupes air, bâtiments). Les créations sont communautaires, validées par Coinage, puis vendues aux joueurs.</w:t>
            </w:r>
          </w:p>
        </w:tc>
      </w:tr>
      <w:tr>
        <w:tc>
          <w:tcPr>
            <w:tcW w:type="dxa" w:w="9972"/>
            <w:shd w:fill="EEF4FB"/>
            <w:vAlign w:val="center"/>
          </w:tcPr>
          <w:p>
            <w:r>
              <w:t>Répartition cible</w:t>
              <w:br/>
              <w:t>Ventes primaires : 35% créateur • 35% planète / trésor cosmétique planétaire • 30% Coinage</w:t>
              <w:br/>
              <w:t>Secondaire : fee marketplace 5% redistribuée à 100% aux créateurs</w:t>
            </w:r>
          </w:p>
        </w:tc>
      </w:tr>
    </w:tbl>
    <w:p/>
    <w:p>
      <w:pPr>
        <w:pStyle w:val="BodySmall"/>
        <w:jc w:val="right"/>
      </w:pPr>
      <w:r>
        <w:t>Version de travail — Avril 2026 — révision business / revenus / secondaire NFT</w:t>
      </w:r>
    </w:p>
    <w:p>
      <w:r>
        <w:br w:type="page"/>
      </w:r>
    </w:p>
    <w:p>
      <w:pPr>
        <w:pStyle w:val="SectionCustom"/>
      </w:pPr>
      <w:r>
        <w:t>1. Pourquoi cette feature a du sens</w:t>
      </w:r>
    </w:p>
    <w:p>
      <w:pPr>
        <w:spacing w:after="100"/>
      </w:pPr>
      <w:r>
        <w:t>Coinage repose sur une promesse très claire : chaque token devient une planète, et chaque planète devient une faction. Les cosmétiques prolongent directement cette fantasy. Ils ne servent pas à “optimiser” le joueur ; ils servent à rendre visible son appartenance communautaire, à différencier les factions et à transformer l’identité du token en langage visuel dans le jeu.</w:t>
      </w:r>
    </w:p>
    <w:p>
      <w:pPr>
        <w:pStyle w:val="ListBullet"/>
        <w:spacing w:after="40"/>
        <w:ind w:left="0"/>
      </w:pPr>
      <w:r>
        <w:t>Un holder BONK ne veut pas seulement jouer sur la planète BONK ; il veut afficher BONK partout dans sa ville, ses troupes et son interface visuelle.</w:t>
      </w:r>
    </w:p>
    <w:p>
      <w:pPr>
        <w:pStyle w:val="ListBullet"/>
        <w:spacing w:after="40"/>
        <w:ind w:left="0"/>
      </w:pPr>
      <w:r>
        <w:t>La feature renforce la rivalité entre factions sans ajouter de puissance payante.</w:t>
      </w:r>
    </w:p>
    <w:p>
      <w:pPr>
        <w:pStyle w:val="ListBullet"/>
        <w:spacing w:after="40"/>
        <w:ind w:left="0"/>
      </w:pPr>
      <w:r>
        <w:t>Elle s’intègre naturellement aux Shards et à la monétisation non-P2W déjà prévue.</w:t>
      </w:r>
    </w:p>
    <w:p>
      <w:pPr>
        <w:pStyle w:val="ListBullet"/>
        <w:spacing w:after="40"/>
        <w:ind w:left="0"/>
      </w:pPr>
      <w:r>
        <w:t>Elle crée une boucle communautaire vertueuse : artistes → validation → vente → redistribution → fierté de faction.</w:t>
      </w:r>
    </w:p>
    <w:p>
      <w:pPr>
        <w:pStyle w:val="SectionCustom"/>
      </w:pPr>
      <w:r>
        <w:t>2. Vision produit</w:t>
      </w:r>
    </w:p>
    <w:p>
      <w:pPr>
        <w:spacing w:after="100"/>
      </w:pPr>
      <w:r>
        <w:rPr>
          <w:b/>
          <w:color w:val="172B4D"/>
        </w:rPr>
        <w:t xml:space="preserve">Positionnement. </w:t>
      </w:r>
      <w:r>
        <w:t>Le système doit être compris comme une économie de cosmétiques communautaires token-native.</w:t>
      </w:r>
    </w:p>
    <w:p>
      <w:pPr>
        <w:spacing w:after="100"/>
      </w:pPr>
      <w:r>
        <w:t>Chaque planète peut avoir une ligne de cosmétiques officielle. Les joueurs achètent des packs à l’effigie de leur token pour transformer visuellement leurs troupes, leurs bâtiments et leur environnement. La valeur de la feature n’est pas la rareté technique seule ; c’est le signal social qu’elle envoie dans un MMO de factions.</w:t>
      </w:r>
    </w:p>
    <w:tbl>
      <w:tblPr>
        <w:tblW w:type="auto" w:w="0"/>
        <w:jc w:val="center"/>
        <w:tblLook w:firstColumn="1" w:firstRow="1" w:lastColumn="0" w:lastRow="0" w:noHBand="0" w:noVBand="1" w:val="04A0"/>
      </w:tblPr>
      <w:tblGrid>
        <w:gridCol w:w="9972"/>
      </w:tblGrid>
      <w:tr>
        <w:tc>
          <w:tcPr>
            <w:tcW w:type="dxa" w:w="9972"/>
            <w:shd w:fill="D6E2F3"/>
            <w:vAlign w:val="center"/>
          </w:tcPr>
          <w:p>
            <w:pPr>
              <w:jc w:val="left"/>
            </w:pPr>
            <w:r/>
            <w:r>
              <w:rPr>
                <w:rFonts w:ascii="Aptos" w:hAnsi="Aptos"/>
                <w:b/>
                <w:color w:val="172B4D"/>
                <w:sz w:val="21"/>
              </w:rPr>
              <w:t>Ce que la feature doit produire</w:t>
            </w:r>
          </w:p>
        </w:tc>
      </w:tr>
      <w:tr>
        <w:tc>
          <w:tcPr>
            <w:tcW w:type="dxa" w:w="9972"/>
            <w:shd w:fill="F4F8FD"/>
            <w:vAlign w:val="center"/>
          </w:tcPr>
          <w:p>
            <w:pPr>
              <w:jc w:val="left"/>
            </w:pPr>
            <w:r/>
            <w:r>
              <w:rPr>
                <w:rFonts w:ascii="Aptos" w:hAnsi="Aptos"/>
                <w:b w:val="0"/>
                <w:sz w:val="20"/>
              </w:rPr>
              <w:t>• Renforcer l’identité visuelle des planètes / communautés</w:t>
            </w:r>
          </w:p>
        </w:tc>
      </w:tr>
      <w:tr>
        <w:tc>
          <w:tcPr>
            <w:tcW w:type="dxa" w:w="9972"/>
            <w:shd w:fill="F4F8FD"/>
            <w:vAlign w:val="center"/>
          </w:tcPr>
          <w:p>
            <w:pPr>
              <w:jc w:val="left"/>
            </w:pPr>
            <w:r/>
            <w:r>
              <w:rPr>
                <w:rFonts w:ascii="Aptos" w:hAnsi="Aptos"/>
                <w:b w:val="0"/>
                <w:sz w:val="20"/>
              </w:rPr>
              <w:t>• Créer une source de revenus durable sans vendre de puissance</w:t>
            </w:r>
          </w:p>
        </w:tc>
      </w:tr>
      <w:tr>
        <w:tc>
          <w:tcPr>
            <w:tcW w:type="dxa" w:w="9972"/>
            <w:shd w:fill="F4F8FD"/>
            <w:vAlign w:val="center"/>
          </w:tcPr>
          <w:p>
            <w:pPr>
              <w:jc w:val="left"/>
            </w:pPr>
            <w:r/>
            <w:r>
              <w:rPr>
                <w:rFonts w:ascii="Aptos" w:hAnsi="Aptos"/>
                <w:b w:val="0"/>
                <w:sz w:val="20"/>
              </w:rPr>
              <w:t>• Faire émerger une couche créative communautaire exploitable sur la durée</w:t>
            </w:r>
          </w:p>
        </w:tc>
      </w:tr>
      <w:tr>
        <w:tc>
          <w:tcPr>
            <w:tcW w:type="dxa" w:w="9972"/>
            <w:shd w:fill="F4F8FD"/>
            <w:vAlign w:val="center"/>
          </w:tcPr>
          <w:p>
            <w:pPr>
              <w:jc w:val="left"/>
            </w:pPr>
            <w:r/>
            <w:r>
              <w:rPr>
                <w:rFonts w:ascii="Aptos" w:hAnsi="Aptos"/>
                <w:b w:val="0"/>
                <w:sz w:val="20"/>
              </w:rPr>
              <w:t>• Donner aux joueurs des raisons d’acheter pour soutenir leur token, pas seulement pour se personnaliser</w:t>
            </w:r>
          </w:p>
        </w:tc>
      </w:tr>
    </w:tbl>
    <w:p/>
    <w:p>
      <w:pPr>
        <w:pStyle w:val="SectionCustom"/>
      </w:pPr>
      <w:r>
        <w:t>3. Périmètre de l’offre</w:t>
      </w:r>
    </w:p>
    <w:p>
      <w:pPr>
        <w:spacing w:after="100"/>
      </w:pPr>
      <w:r>
        <w:t>Le catalogue doit être structuré de façon simple au lancement, puis extensible. Le noyau commercial recommandé est composé uniquement de trois produits : Pack Troupes Sol, Pack Troupes Air et Pack Bâtiments.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CE7F8"/>
            <w:vAlign w:val="center"/>
          </w:tcPr>
          <w:p>
            <w:pPr>
              <w:jc w:val="center"/>
            </w:pPr>
            <w:r/>
            <w:r>
              <w:rPr>
                <w:rFonts w:ascii="Aptos" w:hAnsi="Aptos"/>
                <w:b/>
                <w:color w:val="172B4D"/>
                <w:sz w:val="20"/>
              </w:rPr>
              <w:t>Famille</w:t>
            </w:r>
          </w:p>
        </w:tc>
        <w:tc>
          <w:tcPr>
            <w:tcW w:type="dxa" w:w="2493"/>
            <w:shd w:fill="DCE7F8"/>
            <w:vAlign w:val="center"/>
          </w:tcPr>
          <w:p>
            <w:pPr>
              <w:jc w:val="center"/>
            </w:pPr>
            <w:r/>
            <w:r>
              <w:rPr>
                <w:rFonts w:ascii="Aptos" w:hAnsi="Aptos"/>
                <w:b/>
                <w:color w:val="172B4D"/>
                <w:sz w:val="20"/>
              </w:rPr>
              <w:t>Contenu</w:t>
            </w:r>
          </w:p>
        </w:tc>
        <w:tc>
          <w:tcPr>
            <w:tcW w:type="dxa" w:w="2493"/>
            <w:shd w:fill="DCE7F8"/>
            <w:vAlign w:val="center"/>
          </w:tcPr>
          <w:p>
            <w:pPr>
              <w:jc w:val="center"/>
            </w:pPr>
            <w:r/>
            <w:r>
              <w:rPr>
                <w:rFonts w:ascii="Aptos" w:hAnsi="Aptos"/>
                <w:b/>
                <w:color w:val="172B4D"/>
                <w:sz w:val="20"/>
              </w:rPr>
              <w:t>Exemples</w:t>
            </w:r>
          </w:p>
        </w:tc>
        <w:tc>
          <w:tcPr>
            <w:tcW w:type="dxa" w:w="2493"/>
            <w:shd w:fill="DCE7F8"/>
            <w:vAlign w:val="center"/>
          </w:tcPr>
          <w:p>
            <w:pPr>
              <w:jc w:val="center"/>
            </w:pPr>
            <w:r/>
            <w:r>
              <w:rPr>
                <w:rFonts w:ascii="Aptos" w:hAnsi="Aptos"/>
                <w:b/>
                <w:color w:val="172B4D"/>
                <w:sz w:val="20"/>
              </w:rPr>
              <w:t>Priorité</w:t>
            </w:r>
          </w:p>
        </w:tc>
      </w:tr>
      <w:tr>
        <w:tc>
          <w:tcPr>
            <w:tcW w:type="dxa" w:w="2493"/>
            <w:shd w:fill="F8FBFF"/>
            <w:vAlign w:val="center"/>
          </w:tcPr>
          <w:p>
            <w:r>
              <w:t>Pack Troupes Sol</w:t>
            </w:r>
          </w:p>
        </w:tc>
        <w:tc>
          <w:tcPr>
            <w:tcW w:type="dxa" w:w="2493"/>
            <w:shd w:fill="F8FBFF"/>
            <w:vAlign w:val="center"/>
          </w:tcPr>
          <w:p>
            <w:r>
              <w:t>Skins appliqués aux unités terrestres</w:t>
            </w:r>
          </w:p>
        </w:tc>
        <w:tc>
          <w:tcPr>
            <w:tcW w:type="dxa" w:w="2493"/>
            <w:shd w:fill="F8FBFF"/>
            <w:vAlign w:val="center"/>
          </w:tcPr>
          <w:p>
            <w:r>
              <w:t>Infantry, Marksman, Raider, Assault, Breacher</w:t>
            </w:r>
          </w:p>
        </w:tc>
        <w:tc>
          <w:tcPr>
            <w:tcW w:type="dxa" w:w="2493"/>
            <w:shd w:fill="F8FBFF"/>
            <w:vAlign w:val="center"/>
          </w:tcPr>
          <w:p>
            <w:r>
              <w:t>Haute</w:t>
            </w:r>
          </w:p>
        </w:tc>
      </w:tr>
      <w:tr>
        <w:tc>
          <w:tcPr>
            <w:tcW w:type="dxa" w:w="2493"/>
            <w:shd w:fill="EEF4FB"/>
            <w:vAlign w:val="center"/>
          </w:tcPr>
          <w:p>
            <w:r>
              <w:t>Pack Troupes Air</w:t>
            </w:r>
          </w:p>
        </w:tc>
        <w:tc>
          <w:tcPr>
            <w:tcW w:type="dxa" w:w="2493"/>
            <w:shd w:fill="EEF4FB"/>
            <w:vAlign w:val="center"/>
          </w:tcPr>
          <w:p>
            <w:r>
              <w:t>Skins appliqués aux unités aériennes</w:t>
            </w:r>
          </w:p>
        </w:tc>
        <w:tc>
          <w:tcPr>
            <w:tcW w:type="dxa" w:w="2493"/>
            <w:shd w:fill="EEF4FB"/>
            <w:vAlign w:val="center"/>
          </w:tcPr>
          <w:p>
            <w:r>
              <w:t>Interceptor, Light Fighter, Dropship, Bomber, Colony Ship</w:t>
            </w:r>
          </w:p>
        </w:tc>
        <w:tc>
          <w:tcPr>
            <w:tcW w:type="dxa" w:w="2493"/>
            <w:shd w:fill="EEF4FB"/>
            <w:vAlign w:val="center"/>
          </w:tcPr>
          <w:p>
            <w:r>
              <w:t>Haute</w:t>
            </w:r>
          </w:p>
        </w:tc>
      </w:tr>
      <w:tr>
        <w:tc>
          <w:tcPr>
            <w:tcW w:type="dxa" w:w="2493"/>
            <w:shd w:fill="F8FBFF"/>
            <w:vAlign w:val="center"/>
          </w:tcPr>
          <w:p>
            <w:r>
              <w:t>Pack Bâtiments</w:t>
            </w:r>
          </w:p>
        </w:tc>
        <w:tc>
          <w:tcPr>
            <w:tcW w:type="dxa" w:w="2493"/>
            <w:shd w:fill="F8FBFF"/>
            <w:vAlign w:val="center"/>
          </w:tcPr>
          <w:p>
            <w:r>
              <w:t>Skins appliqués aux bâtiments individuels de la ville</w:t>
            </w:r>
          </w:p>
        </w:tc>
        <w:tc>
          <w:tcPr>
            <w:tcW w:type="dxa" w:w="2493"/>
            <w:shd w:fill="F8FBFF"/>
            <w:vAlign w:val="center"/>
          </w:tcPr>
          <w:p>
            <w:r>
              <w:t>HQ, Barracks, Warehouse, Dock, Research Lab</w:t>
            </w:r>
          </w:p>
        </w:tc>
        <w:tc>
          <w:tcPr>
            <w:tcW w:type="dxa" w:w="2493"/>
            <w:shd w:fill="F8FBFF"/>
            <w:vAlign w:val="center"/>
          </w:tcPr>
          <w:p>
            <w:r>
              <w:t>Haute</w:t>
            </w:r>
          </w:p>
        </w:tc>
      </w:tr>
    </w:tbl>
    <w:p/>
    <w:p>
      <w:pPr>
        <w:spacing w:after="100"/>
      </w:pPr>
      <w:r>
        <w:t>Les skins de ville et de planète sont retirés du périmètre initial. La priorité est de lancer une offre plus lisible, plus simple à produire et plus facile à monétiser rapidement.</w:t>
      </w:r>
    </w:p>
    <w:p>
      <w:pPr>
        <w:pStyle w:val="SectionCustom"/>
      </w:pPr>
      <w:r>
        <w:t>4. Architecture du catalogue</w:t>
      </w:r>
    </w:p>
    <w:p>
      <w:pPr>
        <w:spacing w:after="100"/>
      </w:pPr>
      <w:r>
        <w:t>Le système doit reposer sur trois niveaux de produit afin de conserver de la souplesse commerciale et éditoriale.</w:t>
      </w:r>
    </w:p>
    <w:p>
      <w:pPr>
        <w:pStyle w:val="ListNumber"/>
      </w:pPr>
      <w:r>
        <w:t>Collection cosmétique : univers complet d’un token, par exemple « BONK Genesis Collection ».</w:t>
      </w:r>
    </w:p>
    <w:p>
      <w:pPr>
        <w:pStyle w:val="ListNumber"/>
      </w:pPr>
      <w:r>
        <w:t>Pack : bundle commercial, par exemple « BONK Troop Pack » ou « BONK Building Pack ».</w:t>
      </w:r>
    </w:p>
    <w:p>
      <w:pPr>
        <w:pStyle w:val="ListNumber"/>
      </w:pPr>
      <w:r>
        <w:t>Item cosmétique : skin unitaire compatible avec un asset précis, par exemple « BONK Barracks Skin ».</w:t>
      </w:r>
    </w:p>
    <w:p>
      <w:pPr>
        <w:spacing w:after="100"/>
      </w:pPr>
      <w:r>
        <w:t>Cette structure permet de vendre des bundles complets au départ, puis d’ouvrir plus tard des ventes à l’unité, des drops saisonniers, des récompenses d’événements et des éditions limitées.</w:t>
      </w:r>
    </w:p>
    <w:p>
      <w:pPr>
        <w:pStyle w:val="SectionCustom"/>
      </w:pPr>
      <w:r>
        <w:t>5. Principes non négociables</w:t>
      </w:r>
    </w:p>
    <w:tbl>
      <w:tblPr>
        <w:tblW w:type="auto" w:w="0"/>
        <w:jc w:val="center"/>
        <w:tblLook w:firstColumn="1" w:firstRow="1" w:lastColumn="0" w:lastRow="0" w:noHBand="0" w:noVBand="1" w:val="04A0"/>
      </w:tblPr>
      <w:tblGrid>
        <w:gridCol w:w="9972"/>
      </w:tblGrid>
      <w:tr>
        <w:tc>
          <w:tcPr>
            <w:tcW w:type="dxa" w:w="9972"/>
            <w:shd w:fill="F2DFC2"/>
            <w:vAlign w:val="center"/>
          </w:tcPr>
          <w:p>
            <w:pPr>
              <w:jc w:val="left"/>
            </w:pPr>
            <w:r/>
            <w:r>
              <w:rPr>
                <w:rFonts w:ascii="Aptos" w:hAnsi="Aptos"/>
                <w:b/>
                <w:color w:val="172B4D"/>
                <w:sz w:val="21"/>
              </w:rPr>
              <w:t>Règles absolues</w:t>
            </w:r>
          </w:p>
        </w:tc>
      </w:tr>
      <w:tr>
        <w:tc>
          <w:tcPr>
            <w:tcW w:type="dxa" w:w="9972"/>
            <w:shd w:fill="FFF9F2"/>
            <w:vAlign w:val="center"/>
          </w:tcPr>
          <w:p>
            <w:pPr>
              <w:jc w:val="left"/>
            </w:pPr>
            <w:r/>
            <w:r>
              <w:rPr>
                <w:rFonts w:ascii="Aptos" w:hAnsi="Aptos"/>
                <w:b w:val="0"/>
                <w:sz w:val="20"/>
              </w:rPr>
              <w:t>• Aucun cosmétique ne modifie les stats, les temps, les coûts, la production, la défense ou la visibilité stratégique.</w:t>
            </w:r>
          </w:p>
        </w:tc>
      </w:tr>
      <w:tr>
        <w:tc>
          <w:tcPr>
            <w:tcW w:type="dxa" w:w="9972"/>
            <w:shd w:fill="FFF9F2"/>
            <w:vAlign w:val="center"/>
          </w:tcPr>
          <w:p>
            <w:pPr>
              <w:jc w:val="left"/>
            </w:pPr>
            <w:r/>
            <w:r>
              <w:rPr>
                <w:rFonts w:ascii="Aptos" w:hAnsi="Aptos"/>
                <w:b w:val="0"/>
                <w:sz w:val="20"/>
              </w:rPr>
              <w:t>• La lisibilité gameplay reste prioritaire : même silhouette générale, même hiérarchie visuelle, même compréhension du type d’unité ou de bâtiment.</w:t>
            </w:r>
          </w:p>
        </w:tc>
      </w:tr>
      <w:tr>
        <w:tc>
          <w:tcPr>
            <w:tcW w:type="dxa" w:w="9972"/>
            <w:shd w:fill="FFF9F2"/>
            <w:vAlign w:val="center"/>
          </w:tcPr>
          <w:p>
            <w:pPr>
              <w:jc w:val="left"/>
            </w:pPr>
            <w:r/>
            <w:r>
              <w:rPr>
                <w:rFonts w:ascii="Aptos" w:hAnsi="Aptos"/>
                <w:b w:val="0"/>
                <w:sz w:val="20"/>
              </w:rPr>
              <w:t>• Le cosmétique est un habillage, pas une refonte fonctionnelle.</w:t>
            </w:r>
          </w:p>
        </w:tc>
      </w:tr>
      <w:tr>
        <w:tc>
          <w:tcPr>
            <w:tcW w:type="dxa" w:w="9972"/>
            <w:shd w:fill="FFF9F2"/>
            <w:vAlign w:val="center"/>
          </w:tcPr>
          <w:p>
            <w:pPr>
              <w:jc w:val="left"/>
            </w:pPr>
            <w:r/>
            <w:r>
              <w:rPr>
                <w:rFonts w:ascii="Aptos" w:hAnsi="Aptos"/>
                <w:b w:val="0"/>
                <w:sz w:val="20"/>
              </w:rPr>
              <w:t>• La boutique ne vend jamais de ressources de base, de troupes, de technologies ou d’avantages compétitifs.</w:t>
            </w:r>
          </w:p>
        </w:tc>
      </w:tr>
    </w:tbl>
    <w:p/>
    <w:p>
      <w:pPr>
        <w:pStyle w:val="SectionCustom"/>
      </w:pPr>
      <w:r>
        <w:t>6. Éligibilité, achat et usage</w:t>
      </w:r>
    </w:p>
    <w:p>
      <w:pPr>
        <w:spacing w:after="100"/>
      </w:pPr>
      <w:r>
        <w:rPr>
          <w:b/>
          <w:color w:val="172B4D"/>
        </w:rPr>
        <w:t xml:space="preserve">Principe. </w:t>
      </w:r>
      <w:r>
        <w:t>Pour préserver la cohérence factionnelle, les cosmétiques doivent être liés à la planète / au token concerné.</w:t>
      </w:r>
    </w:p>
    <w:p>
      <w:pPr>
        <w:pStyle w:val="ListBullet"/>
        <w:spacing w:after="40"/>
        <w:ind w:left="0"/>
      </w:pPr>
      <w:r>
        <w:t>Accès à l’achat : réservé aux joueurs liés à la planète / au token, via holding et/ou ville active associée.</w:t>
      </w:r>
    </w:p>
    <w:p>
      <w:pPr>
        <w:pStyle w:val="ListBullet"/>
        <w:spacing w:after="40"/>
        <w:ind w:left="0"/>
      </w:pPr>
      <w:r>
        <w:t>Accès à l’équipement : limité aux villes ou contextes compatibles avec ce token.</w:t>
      </w:r>
    </w:p>
    <w:p>
      <w:pPr>
        <w:pStyle w:val="ListBullet"/>
        <w:spacing w:after="40"/>
        <w:ind w:left="0"/>
      </w:pPr>
      <w:r>
        <w:t>Pas de “cross-faction fashion” au lancement : un joueur ne doit pas pouvoir porter librement un skin BONK sur une ville d’une autre faction.</w:t>
      </w:r>
    </w:p>
    <w:p>
      <w:pPr>
        <w:spacing w:after="100"/>
      </w:pPr>
      <w:r>
        <w:t>Cette contrainte est importante. Elle protège la valeur symbolique du cosmétique. Si tous les skins sont portables partout par n’importe qui, la feature perd sa fonction communautaire et devient une personnalisation générique.</w:t>
      </w:r>
    </w:p>
    <w:p>
      <w:pPr>
        <w:pStyle w:val="SectionCustom"/>
      </w:pPr>
      <w:r>
        <w:t>7. Modèle économique et redistribution</w:t>
      </w:r>
    </w:p>
    <w:p>
      <w:pPr>
        <w:spacing w:after="100"/>
      </w:pPr>
      <w:r>
        <w:t>Le cœur de la feature est double : vendre du cosmétique primaire sous forme de packs NFT limités, puis laisser les joueurs posséder et revendre librement les skins individuels sur le secondaire.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CE7F8"/>
            <w:vAlign w:val="center"/>
          </w:tcPr>
          <w:p>
            <w:r>
              <w:t>Bénéficiaire</w:t>
            </w:r>
          </w:p>
        </w:tc>
        <w:tc>
          <w:tcPr>
            <w:tcW w:type="dxa" w:w="3324"/>
            <w:shd w:fill="DCE7F8"/>
            <w:vAlign w:val="center"/>
          </w:tcPr>
          <w:p>
            <w:r>
              <w:t>Part ventes primaires</w:t>
            </w:r>
          </w:p>
        </w:tc>
        <w:tc>
          <w:tcPr>
            <w:tcW w:type="dxa" w:w="3324"/>
            <w:shd w:fill="DCE7F8"/>
            <w:vAlign w:val="center"/>
          </w:tcPr>
          <w:p>
            <w:r>
              <w:t>Rôle</w:t>
            </w:r>
          </w:p>
        </w:tc>
      </w:tr>
      <w:tr>
        <w:tc>
          <w:tcPr>
            <w:tcW w:type="dxa" w:w="3324"/>
            <w:shd w:fill="F8FBFF"/>
            <w:vAlign w:val="center"/>
          </w:tcPr>
          <w:p>
            <w:r>
              <w:t>Créateur du skin</w:t>
            </w:r>
          </w:p>
        </w:tc>
        <w:tc>
          <w:tcPr>
            <w:tcW w:type="dxa" w:w="3324"/>
            <w:shd w:fill="F8FBFF"/>
            <w:vAlign w:val="center"/>
          </w:tcPr>
          <w:p>
            <w:r>
              <w:t>35%</w:t>
            </w:r>
          </w:p>
        </w:tc>
        <w:tc>
          <w:tcPr>
            <w:tcW w:type="dxa" w:w="3324"/>
            <w:shd w:fill="F8FBFF"/>
            <w:vAlign w:val="center"/>
          </w:tcPr>
          <w:p>
            <w:r>
              <w:t>Récompenser la création communautaire et attirer durablement des artistes / studios</w:t>
            </w:r>
          </w:p>
        </w:tc>
      </w:tr>
      <w:tr>
        <w:tc>
          <w:tcPr>
            <w:tcW w:type="dxa" w:w="3324"/>
            <w:shd w:fill="EEF4FB"/>
            <w:vAlign w:val="center"/>
          </w:tcPr>
          <w:p>
            <w:r>
              <w:t>Planète / trésor cosmétique planétaire</w:t>
            </w:r>
          </w:p>
        </w:tc>
        <w:tc>
          <w:tcPr>
            <w:tcW w:type="dxa" w:w="3324"/>
            <w:shd w:fill="EEF4FB"/>
            <w:vAlign w:val="center"/>
          </w:tcPr>
          <w:p>
            <w:r>
              <w:t>35%</w:t>
            </w:r>
          </w:p>
        </w:tc>
        <w:tc>
          <w:tcPr>
            <w:tcW w:type="dxa" w:w="3324"/>
            <w:shd w:fill="EEF4FB"/>
            <w:vAlign w:val="center"/>
          </w:tcPr>
          <w:p>
            <w:r>
              <w:t>Transformer l’achat primaire en soutien direct de la faction</w:t>
            </w:r>
          </w:p>
        </w:tc>
      </w:tr>
      <w:tr>
        <w:tc>
          <w:tcPr>
            <w:tcW w:type="dxa" w:w="3324"/>
            <w:shd w:fill="F8FBFF"/>
            <w:vAlign w:val="center"/>
          </w:tcPr>
          <w:p>
            <w:r>
              <w:t>Coinage</w:t>
            </w:r>
          </w:p>
        </w:tc>
        <w:tc>
          <w:tcPr>
            <w:tcW w:type="dxa" w:w="3324"/>
            <w:shd w:fill="F8FBFF"/>
            <w:vAlign w:val="center"/>
          </w:tcPr>
          <w:p>
            <w:r>
              <w:t>30%</w:t>
            </w:r>
          </w:p>
        </w:tc>
        <w:tc>
          <w:tcPr>
            <w:tcW w:type="dxa" w:w="3324"/>
            <w:shd w:fill="F8FBFF"/>
            <w:vAlign w:val="center"/>
          </w:tcPr>
          <w:p>
            <w:r>
              <w:t>Rémunérer la plateforme, la validation, l’intégration et l’opération</w:t>
            </w:r>
          </w:p>
        </w:tc>
      </w:tr>
    </w:tbl>
    <w:p/>
    <w:p>
      <w:pPr>
        <w:spacing w:after="100"/>
      </w:pPr>
      <w:r>
        <w:t>La part “planète” sur les ventes primaires doit idéalement alimenter un trésor cosmétique planétaire distinct. Sa gouvernance reste à définir, mais la cible produit est claire : contrôle par le Conseil avec vote obligatoire des joueurs et garde-fous empêchant toute captation privée.</w:t>
      </w:r>
    </w:p>
    <w:p>
      <w:pPr>
        <w:pStyle w:val="ListBullet"/>
        <w:spacing w:after="40"/>
        <w:ind w:left="0"/>
      </w:pPr>
      <w:r>
        <w:t>• Usages visés du trésor cosmétique planétaire : soutien direct du token via achats de marché, redistribution contrôlée aux joueurs de la planète / alliance, et certains usages in-game encore à définir.</w:t>
      </w:r>
    </w:p>
    <w:p>
      <w:pPr>
        <w:pStyle w:val="ListBullet"/>
        <w:spacing w:after="40"/>
        <w:ind w:left="0"/>
      </w:pPr>
      <w:r>
        <w:t>• Le joueur doit comprendre que son achat primaire soutient à la fois l’artiste, sa faction et Coinage ; en revanche, le secondaire sert avant tout à garantir la propriété des skins par les joueurs.</w:t>
      </w:r>
    </w:p>
    <w:p>
      <w:pPr>
        <w:pStyle w:val="SectionCustom"/>
      </w:pPr>
      <w:r>
        <w:t>8. Pipeline créateur</w:t>
      </w:r>
    </w:p>
    <w:p>
      <w:pPr>
        <w:spacing w:after="100"/>
      </w:pPr>
      <w:r>
        <w:t>La création doit être communautaire, mais la validation finale doit rester centralisée chez Coinage, au moins au départ.</w:t>
      </w:r>
    </w:p>
    <w:tbl>
      <w:tblPr>
        <w:tblStyle w:val="TableGrid"/>
        <w:tblW w:type="auto" w:w="0"/>
        <w:jc w:val="center"/>
        <w:tblLook w:firstColumn="1" w:firstRow="1" w:lastColumn="0" w:lastRow="0" w:noHBand="0" w:noVBand="1" w:val="04A0"/>
      </w:tblPr>
      <w:tblGrid>
        <w:gridCol w:w="4986"/>
        <w:gridCol w:w="4986"/>
      </w:tblGrid>
      <w:tr>
        <w:tc>
          <w:tcPr>
            <w:tcW w:type="dxa" w:w="4986"/>
            <w:shd w:fill="DCE7F8"/>
            <w:vAlign w:val="center"/>
          </w:tcPr>
          <w:p>
            <w:pPr>
              <w:jc w:val="center"/>
            </w:pPr>
            <w:r/>
            <w:r>
              <w:rPr>
                <w:rFonts w:ascii="Aptos" w:hAnsi="Aptos"/>
                <w:b/>
                <w:color w:val="172B4D"/>
                <w:sz w:val="20"/>
              </w:rPr>
              <w:t>Étape</w:t>
            </w:r>
          </w:p>
        </w:tc>
        <w:tc>
          <w:tcPr>
            <w:tcW w:type="dxa" w:w="4986"/>
            <w:shd w:fill="DCE7F8"/>
            <w:vAlign w:val="center"/>
          </w:tcPr>
          <w:p>
            <w:pPr>
              <w:jc w:val="center"/>
            </w:pPr>
            <w:r/>
            <w:r>
              <w:rPr>
                <w:rFonts w:ascii="Aptos" w:hAnsi="Aptos"/>
                <w:b/>
                <w:color w:val="172B4D"/>
                <w:sz w:val="20"/>
              </w:rPr>
              <w:t>Description</w:t>
            </w:r>
          </w:p>
        </w:tc>
      </w:tr>
      <w:tr>
        <w:tc>
          <w:tcPr>
            <w:tcW w:type="dxa" w:w="4986"/>
            <w:shd w:fill="F8FBFF"/>
            <w:vAlign w:val="center"/>
          </w:tcPr>
          <w:p>
            <w:pPr>
              <w:jc w:val="left"/>
            </w:pPr>
            <w:r/>
            <w:r>
              <w:rPr>
                <w:rFonts w:ascii="Aptos" w:hAnsi="Aptos"/>
                <w:b w:val="0"/>
                <w:sz w:val="19"/>
              </w:rPr>
              <w:t>Draft</w:t>
            </w:r>
          </w:p>
        </w:tc>
        <w:tc>
          <w:tcPr>
            <w:tcW w:type="dxa" w:w="4986"/>
            <w:shd w:fill="F8FBFF"/>
            <w:vAlign w:val="center"/>
          </w:tcPr>
          <w:p>
            <w:pPr>
              <w:jc w:val="left"/>
            </w:pPr>
            <w:r/>
            <w:r>
              <w:rPr>
                <w:rFonts w:ascii="Aptos" w:hAnsi="Aptos"/>
                <w:b w:val="0"/>
                <w:sz w:val="19"/>
              </w:rPr>
              <w:t>Le créateur prépare les fichiers, variantes, prévisualisations et métadonnées.</w:t>
            </w:r>
          </w:p>
        </w:tc>
      </w:tr>
      <w:tr>
        <w:tc>
          <w:tcPr>
            <w:tcW w:type="dxa" w:w="4986"/>
            <w:shd w:fill="EEF4FB"/>
            <w:vAlign w:val="center"/>
          </w:tcPr>
          <w:p>
            <w:pPr>
              <w:jc w:val="left"/>
            </w:pPr>
            <w:r/>
            <w:r>
              <w:rPr>
                <w:rFonts w:ascii="Aptos" w:hAnsi="Aptos"/>
                <w:b w:val="0"/>
                <w:sz w:val="19"/>
              </w:rPr>
              <w:t>Submission</w:t>
            </w:r>
          </w:p>
        </w:tc>
        <w:tc>
          <w:tcPr>
            <w:tcW w:type="dxa" w:w="4986"/>
            <w:shd w:fill="EEF4FB"/>
            <w:vAlign w:val="center"/>
          </w:tcPr>
          <w:p>
            <w:pPr>
              <w:jc w:val="left"/>
            </w:pPr>
            <w:r/>
            <w:r>
              <w:rPr>
                <w:rFonts w:ascii="Aptos" w:hAnsi="Aptos"/>
                <w:b w:val="0"/>
                <w:sz w:val="19"/>
              </w:rPr>
              <w:t>Le pack est soumis à Coinage avec indication du token / de la planète ciblée.</w:t>
            </w:r>
          </w:p>
        </w:tc>
      </w:tr>
      <w:tr>
        <w:tc>
          <w:tcPr>
            <w:tcW w:type="dxa" w:w="4986"/>
            <w:shd w:fill="F8FBFF"/>
            <w:vAlign w:val="center"/>
          </w:tcPr>
          <w:p>
            <w:pPr>
              <w:jc w:val="left"/>
            </w:pPr>
            <w:r/>
            <w:r>
              <w:rPr>
                <w:rFonts w:ascii="Aptos" w:hAnsi="Aptos"/>
                <w:b w:val="0"/>
                <w:sz w:val="19"/>
              </w:rPr>
              <w:t>Review</w:t>
            </w:r>
          </w:p>
        </w:tc>
        <w:tc>
          <w:tcPr>
            <w:tcW w:type="dxa" w:w="4986"/>
            <w:shd w:fill="F8FBFF"/>
            <w:vAlign w:val="center"/>
          </w:tcPr>
          <w:p>
            <w:pPr>
              <w:jc w:val="left"/>
            </w:pPr>
            <w:r/>
            <w:r>
              <w:rPr>
                <w:rFonts w:ascii="Aptos" w:hAnsi="Aptos"/>
                <w:b w:val="0"/>
                <w:sz w:val="19"/>
              </w:rPr>
              <w:t>Contrôle qualité, cohérence DA, lisibilité gameplay, conformité IP / marque.</w:t>
            </w:r>
          </w:p>
        </w:tc>
      </w:tr>
      <w:tr>
        <w:tc>
          <w:tcPr>
            <w:tcW w:type="dxa" w:w="4986"/>
            <w:shd w:fill="EEF4FB"/>
            <w:vAlign w:val="center"/>
          </w:tcPr>
          <w:p>
            <w:pPr>
              <w:jc w:val="left"/>
            </w:pPr>
            <w:r/>
            <w:r>
              <w:rPr>
                <w:rFonts w:ascii="Aptos" w:hAnsi="Aptos"/>
                <w:b w:val="0"/>
                <w:sz w:val="19"/>
              </w:rPr>
              <w:t>Approval</w:t>
            </w:r>
          </w:p>
        </w:tc>
        <w:tc>
          <w:tcPr>
            <w:tcW w:type="dxa" w:w="4986"/>
            <w:shd w:fill="EEF4FB"/>
            <w:vAlign w:val="center"/>
          </w:tcPr>
          <w:p>
            <w:pPr>
              <w:jc w:val="left"/>
            </w:pPr>
            <w:r/>
            <w:r>
              <w:rPr>
                <w:rFonts w:ascii="Aptos" w:hAnsi="Aptos"/>
                <w:b w:val="0"/>
                <w:sz w:val="19"/>
              </w:rPr>
              <w:t>Le skin est accepté, versionné, intégré au catalogue et préparé pour publication.</w:t>
            </w:r>
          </w:p>
        </w:tc>
      </w:tr>
      <w:tr>
        <w:tc>
          <w:tcPr>
            <w:tcW w:type="dxa" w:w="4986"/>
            <w:shd w:fill="F8FBFF"/>
            <w:vAlign w:val="center"/>
          </w:tcPr>
          <w:p>
            <w:pPr>
              <w:jc w:val="left"/>
            </w:pPr>
            <w:r/>
            <w:r>
              <w:rPr>
                <w:rFonts w:ascii="Aptos" w:hAnsi="Aptos"/>
                <w:b w:val="0"/>
                <w:sz w:val="19"/>
              </w:rPr>
              <w:t>Publication</w:t>
            </w:r>
          </w:p>
        </w:tc>
        <w:tc>
          <w:tcPr>
            <w:tcW w:type="dxa" w:w="4986"/>
            <w:shd w:fill="F8FBFF"/>
            <w:vAlign w:val="center"/>
          </w:tcPr>
          <w:p>
            <w:pPr>
              <w:jc w:val="left"/>
            </w:pPr>
            <w:r/>
            <w:r>
              <w:rPr>
                <w:rFonts w:ascii="Aptos" w:hAnsi="Aptos"/>
                <w:b w:val="0"/>
                <w:sz w:val="19"/>
              </w:rPr>
              <w:t>Le pack devient achetable dans la boutique et équipeable par les joueurs éligibles.</w:t>
            </w:r>
          </w:p>
        </w:tc>
      </w:tr>
    </w:tbl>
    <w:p/>
    <w:p>
      <w:pPr>
        <w:spacing w:after="100"/>
      </w:pPr>
      <w:r>
        <w:t>À terme, on peut imaginer une pré-validation communautaire ou un vote consultatif. Mais il ne faut pas déléguer trop tôt la validation finale. Les risques sont clairs : mauvaise qualité visuelle, illisibilité, problèmes de droits de marque, dérives esthétiques ou contenus incohérents avec l’univers de Coinage.</w:t>
      </w:r>
    </w:p>
    <w:p>
      <w:pPr>
        <w:pStyle w:val="SectionCustom"/>
      </w:pPr>
      <w:r>
        <w:t>9. Expérience joueur</w:t>
      </w:r>
    </w:p>
    <w:p>
      <w:pPr>
        <w:spacing w:after="100"/>
      </w:pPr>
      <w:r>
        <w:t>L’UX doit rester extrêmement simple. Le joueur n’achète pas un patchwork de micro-variantes ; il achète des packs clairs, puis équipe les skins compatibles sur ses troupes terrestres, ses troupes aériennes ou ses bâtiments.</w:t>
      </w:r>
    </w:p>
    <w:p>
      <w:pPr>
        <w:pStyle w:val="ListBullet"/>
        <w:spacing w:after="40"/>
        <w:ind w:left="0"/>
      </w:pPr>
      <w:r>
        <w:t>Un thème actif de troupes</w:t>
      </w:r>
    </w:p>
    <w:p>
      <w:pPr>
        <w:pStyle w:val="ListBullet"/>
        <w:spacing w:after="40"/>
        <w:ind w:left="0"/>
      </w:pPr>
      <w:r>
        <w:t>Un thème actif de bâtiments</w:t>
      </w:r>
    </w:p>
    <w:p>
      <w:pPr>
        <w:pStyle w:val="ListBullet"/>
        <w:spacing w:after="40"/>
        <w:ind w:left="0"/>
      </w:pPr>
      <w:r/>
    </w:p>
    <w:p>
      <w:pPr>
        <w:pStyle w:val="ListBullet"/>
        <w:spacing w:after="40"/>
        <w:ind w:left="0"/>
      </w:pPr>
      <w:r>
        <w:t>Bouton principal : « appliquer à tous les assets compatibles »</w:t>
      </w:r>
    </w:p>
    <w:p>
      <w:pPr>
        <w:spacing w:after="100"/>
      </w:pPr>
      <w:r>
        <w:t>Les assets non couverts par le pack gardent leur apparence par défaut. Cela évite les frictions et permet de sortir progressivement un catalogue partiel sans casser l’expérience.</w:t>
      </w:r>
    </w:p>
    <w:tbl>
      <w:tblPr>
        <w:tblW w:type="auto" w:w="0"/>
        <w:jc w:val="center"/>
        <w:tblLook w:firstColumn="1" w:firstRow="1" w:lastColumn="0" w:lastRow="0" w:noHBand="0" w:noVBand="1" w:val="04A0"/>
      </w:tblPr>
      <w:tblGrid>
        <w:gridCol w:w="9972"/>
      </w:tblGrid>
      <w:tr>
        <w:tc>
          <w:tcPr>
            <w:tcW w:type="dxa" w:w="9972"/>
            <w:shd w:fill="D6E2F3"/>
            <w:vAlign w:val="center"/>
          </w:tcPr>
          <w:p>
            <w:pPr>
              <w:jc w:val="left"/>
            </w:pPr>
            <w:r/>
            <w:r>
              <w:rPr>
                <w:rFonts w:ascii="Aptos" w:hAnsi="Aptos"/>
                <w:b/>
                <w:color w:val="172B4D"/>
                <w:sz w:val="21"/>
              </w:rPr>
              <w:t>Moments UX clés</w:t>
            </w:r>
          </w:p>
        </w:tc>
      </w:tr>
      <w:tr>
        <w:tc>
          <w:tcPr>
            <w:tcW w:type="dxa" w:w="9972"/>
            <w:shd w:fill="F4F8FD"/>
            <w:vAlign w:val="center"/>
          </w:tcPr>
          <w:p>
            <w:r>
              <w:t>• Découverte : boutique token-native depuis la page planète ou le profil de faction</w:t>
            </w:r>
          </w:p>
        </w:tc>
      </w:tr>
      <w:tr>
        <w:tc>
          <w:tcPr>
            <w:tcW w:type="dxa" w:w="9972"/>
            <w:shd w:fill="F4F8FD"/>
            <w:vAlign w:val="center"/>
          </w:tcPr>
          <w:p>
            <w:r>
              <w:t>• Conversion : fiche pack avec preview claire avant / après</w:t>
            </w:r>
          </w:p>
        </w:tc>
      </w:tr>
      <w:tr>
        <w:tc>
          <w:tcPr>
            <w:tcW w:type="dxa" w:w="9972"/>
            <w:shd w:fill="F4F8FD"/>
            <w:vAlign w:val="center"/>
          </w:tcPr>
          <w:p>
            <w:r>
              <w:t>• Activation : équipement simple par famille compatible (sol, air, bâtiments)</w:t>
            </w:r>
          </w:p>
        </w:tc>
      </w:tr>
      <w:tr>
        <w:tc>
          <w:tcPr>
            <w:tcW w:type="dxa" w:w="9972"/>
            <w:shd w:fill="F4F8FD"/>
            <w:vAlign w:val="center"/>
          </w:tcPr>
          <w:p>
            <w:r>
              <w:t>• Expression : rendu visible dans la city view, les combats et certains écrans de faction</w:t>
            </w:r>
          </w:p>
        </w:tc>
      </w:tr>
    </w:tbl>
    <w:p/>
    <w:p>
      <w:pPr>
        <w:pStyle w:val="SectionCustom"/>
      </w:pPr>
      <w:r>
        <w:t>10. Données produit à prévoir</w:t>
      </w:r>
    </w:p>
    <w:p>
      <w:pPr>
        <w:spacing w:after="100"/>
      </w:pPr>
      <w:r>
        <w:t>Même si la feature arrive plus tard, certains objets doivent être anticipés tôt dans l’architecture.</w:t>
      </w:r>
    </w:p>
    <w:tbl>
      <w:tblPr>
        <w:tblStyle w:val="TableGrid"/>
        <w:tblW w:type="auto" w:w="0"/>
        <w:jc w:val="center"/>
        <w:tblLook w:firstColumn="1" w:firstRow="1" w:lastColumn="0" w:lastRow="0" w:noHBand="0" w:noVBand="1" w:val="04A0"/>
      </w:tblPr>
      <w:tblGrid>
        <w:gridCol w:w="4986"/>
        <w:gridCol w:w="4986"/>
      </w:tblGrid>
      <w:tr>
        <w:tc>
          <w:tcPr>
            <w:tcW w:type="dxa" w:w="4986"/>
            <w:shd w:fill="DCE7F8"/>
            <w:vAlign w:val="center"/>
          </w:tcPr>
          <w:p>
            <w:pPr>
              <w:jc w:val="center"/>
            </w:pPr>
            <w:r/>
            <w:r>
              <w:rPr>
                <w:rFonts w:ascii="Aptos" w:hAnsi="Aptos"/>
                <w:b/>
                <w:color w:val="172B4D"/>
                <w:sz w:val="20"/>
              </w:rPr>
              <w:t>Objet</w:t>
            </w:r>
          </w:p>
        </w:tc>
        <w:tc>
          <w:tcPr>
            <w:tcW w:type="dxa" w:w="4986"/>
            <w:shd w:fill="DCE7F8"/>
            <w:vAlign w:val="center"/>
          </w:tcPr>
          <w:p>
            <w:pPr>
              <w:jc w:val="center"/>
            </w:pPr>
            <w:r/>
            <w:r>
              <w:rPr>
                <w:rFonts w:ascii="Aptos" w:hAnsi="Aptos"/>
                <w:b/>
                <w:color w:val="172B4D"/>
                <w:sz w:val="20"/>
              </w:rPr>
              <w:t>Rôle</w:t>
            </w:r>
          </w:p>
        </w:tc>
      </w:tr>
      <w:tr>
        <w:tc>
          <w:tcPr>
            <w:tcW w:type="dxa" w:w="4986"/>
            <w:shd w:fill="F8FBFF"/>
            <w:vAlign w:val="center"/>
          </w:tcPr>
          <w:p>
            <w:pPr>
              <w:jc w:val="left"/>
            </w:pPr>
            <w:r/>
            <w:r>
              <w:rPr>
                <w:rFonts w:ascii="Aptos" w:hAnsi="Aptos"/>
                <w:b/>
                <w:color w:val="2A56A6"/>
                <w:sz w:val="19"/>
              </w:rPr>
              <w:t>CosmeticCollection</w:t>
            </w:r>
          </w:p>
        </w:tc>
        <w:tc>
          <w:tcPr>
            <w:tcW w:type="dxa" w:w="4986"/>
            <w:shd w:fill="F8FBFF"/>
            <w:vAlign w:val="center"/>
          </w:tcPr>
          <w:p>
            <w:pPr>
              <w:jc w:val="left"/>
            </w:pPr>
            <w:r/>
            <w:r>
              <w:rPr>
                <w:rFonts w:ascii="Aptos" w:hAnsi="Aptos"/>
                <w:b w:val="0"/>
                <w:sz w:val="19"/>
              </w:rPr>
              <w:t>Regroupe les cosmétiques d’un token / d’une saison / d’une collaboration</w:t>
            </w:r>
          </w:p>
        </w:tc>
      </w:tr>
      <w:tr>
        <w:tc>
          <w:tcPr>
            <w:tcW w:type="dxa" w:w="4986"/>
            <w:shd w:fill="F8FBFF"/>
            <w:vAlign w:val="center"/>
          </w:tcPr>
          <w:p>
            <w:pPr>
              <w:jc w:val="left"/>
            </w:pPr>
            <w:r/>
            <w:r>
              <w:rPr>
                <w:rFonts w:ascii="Aptos" w:hAnsi="Aptos"/>
                <w:b/>
                <w:color w:val="2A56A6"/>
                <w:sz w:val="19"/>
              </w:rPr>
              <w:t>CosmeticPack</w:t>
            </w:r>
          </w:p>
        </w:tc>
        <w:tc>
          <w:tcPr>
            <w:tcW w:type="dxa" w:w="4986"/>
            <w:shd w:fill="F8FBFF"/>
            <w:vAlign w:val="center"/>
          </w:tcPr>
          <w:p>
            <w:pPr>
              <w:jc w:val="left"/>
            </w:pPr>
            <w:r/>
            <w:r>
              <w:rPr>
                <w:rFonts w:ascii="Aptos" w:hAnsi="Aptos"/>
                <w:b w:val="0"/>
                <w:sz w:val="19"/>
              </w:rPr>
              <w:t>Produit commercial achetable</w:t>
            </w:r>
          </w:p>
        </w:tc>
      </w:tr>
      <w:tr>
        <w:tc>
          <w:tcPr>
            <w:tcW w:type="dxa" w:w="4986"/>
            <w:shd w:fill="F8FBFF"/>
            <w:vAlign w:val="center"/>
          </w:tcPr>
          <w:p>
            <w:pPr>
              <w:jc w:val="left"/>
            </w:pPr>
            <w:r/>
            <w:r>
              <w:rPr>
                <w:rFonts w:ascii="Aptos" w:hAnsi="Aptos"/>
                <w:b/>
                <w:color w:val="2A56A6"/>
                <w:sz w:val="19"/>
              </w:rPr>
              <w:t>CosmeticItem</w:t>
            </w:r>
          </w:p>
        </w:tc>
        <w:tc>
          <w:tcPr>
            <w:tcW w:type="dxa" w:w="4986"/>
            <w:shd w:fill="F8FBFF"/>
            <w:vAlign w:val="center"/>
          </w:tcPr>
          <w:p>
            <w:pPr>
              <w:jc w:val="left"/>
            </w:pPr>
            <w:r/>
            <w:r>
              <w:rPr>
                <w:rFonts w:ascii="Aptos" w:hAnsi="Aptos"/>
                <w:b w:val="0"/>
                <w:sz w:val="19"/>
              </w:rPr>
              <w:t>Skin unitaire compatible avec un type d’asset</w:t>
            </w:r>
          </w:p>
        </w:tc>
      </w:tr>
      <w:tr>
        <w:tc>
          <w:tcPr>
            <w:tcW w:type="dxa" w:w="4986"/>
            <w:shd w:fill="F8FBFF"/>
            <w:vAlign w:val="center"/>
          </w:tcPr>
          <w:p>
            <w:pPr>
              <w:jc w:val="left"/>
            </w:pPr>
            <w:r/>
            <w:r>
              <w:rPr>
                <w:rFonts w:ascii="Aptos" w:hAnsi="Aptos"/>
                <w:b/>
                <w:color w:val="2A56A6"/>
                <w:sz w:val="19"/>
              </w:rPr>
              <w:t>CosmeticCreator</w:t>
            </w:r>
          </w:p>
        </w:tc>
        <w:tc>
          <w:tcPr>
            <w:tcW w:type="dxa" w:w="4986"/>
            <w:shd w:fill="F8FBFF"/>
            <w:vAlign w:val="center"/>
          </w:tcPr>
          <w:p>
            <w:pPr>
              <w:jc w:val="left"/>
            </w:pPr>
            <w:r/>
            <w:r>
              <w:rPr>
                <w:rFonts w:ascii="Aptos" w:hAnsi="Aptos"/>
                <w:b w:val="0"/>
                <w:sz w:val="19"/>
              </w:rPr>
              <w:t>Auteur / studio / collectif associé à la création</w:t>
            </w:r>
          </w:p>
        </w:tc>
      </w:tr>
      <w:tr>
        <w:tc>
          <w:tcPr>
            <w:tcW w:type="dxa" w:w="4986"/>
            <w:shd w:fill="F8FBFF"/>
            <w:vAlign w:val="center"/>
          </w:tcPr>
          <w:p>
            <w:pPr>
              <w:jc w:val="left"/>
            </w:pPr>
            <w:r/>
            <w:r>
              <w:rPr>
                <w:rFonts w:ascii="Aptos" w:hAnsi="Aptos"/>
                <w:b/>
                <w:color w:val="2A56A6"/>
                <w:sz w:val="19"/>
              </w:rPr>
              <w:t>CosmeticOwnership</w:t>
            </w:r>
          </w:p>
        </w:tc>
        <w:tc>
          <w:tcPr>
            <w:tcW w:type="dxa" w:w="4986"/>
            <w:shd w:fill="F8FBFF"/>
            <w:vAlign w:val="center"/>
          </w:tcPr>
          <w:p>
            <w:pPr>
              <w:jc w:val="left"/>
            </w:pPr>
            <w:r/>
            <w:r>
              <w:rPr>
                <w:rFonts w:ascii="Aptos" w:hAnsi="Aptos"/>
                <w:b w:val="0"/>
                <w:sz w:val="19"/>
              </w:rPr>
              <w:t>Historique des achats et droits d’équipement</w:t>
            </w:r>
          </w:p>
        </w:tc>
      </w:tr>
      <w:tr>
        <w:tc>
          <w:tcPr>
            <w:tcW w:type="dxa" w:w="4986"/>
            <w:shd w:fill="F8FBFF"/>
            <w:vAlign w:val="center"/>
          </w:tcPr>
          <w:p>
            <w:pPr>
              <w:jc w:val="left"/>
            </w:pPr>
            <w:r/>
            <w:r>
              <w:rPr>
                <w:rFonts w:ascii="Aptos" w:hAnsi="Aptos"/>
                <w:b/>
                <w:color w:val="2A56A6"/>
                <w:sz w:val="19"/>
              </w:rPr>
              <w:t>CosmeticEquipLoadout</w:t>
            </w:r>
          </w:p>
        </w:tc>
        <w:tc>
          <w:tcPr>
            <w:tcW w:type="dxa" w:w="4986"/>
            <w:shd w:fill="F8FBFF"/>
            <w:vAlign w:val="center"/>
          </w:tcPr>
          <w:p>
            <w:pPr>
              <w:jc w:val="left"/>
            </w:pPr>
            <w:r/>
            <w:r>
              <w:rPr>
                <w:rFonts w:ascii="Aptos" w:hAnsi="Aptos"/>
                <w:b w:val="0"/>
                <w:sz w:val="19"/>
              </w:rPr>
              <w:t>Thèmes actifs du joueur ou de la ville</w:t>
            </w:r>
          </w:p>
        </w:tc>
      </w:tr>
      <w:tr>
        <w:tc>
          <w:tcPr>
            <w:tcW w:type="dxa" w:w="4986"/>
            <w:shd w:fill="F8FBFF"/>
            <w:vAlign w:val="center"/>
          </w:tcPr>
          <w:p>
            <w:pPr>
              <w:jc w:val="left"/>
            </w:pPr>
            <w:r/>
            <w:r>
              <w:rPr>
                <w:rFonts w:ascii="Aptos" w:hAnsi="Aptos"/>
                <w:b/>
                <w:color w:val="2A56A6"/>
                <w:sz w:val="19"/>
              </w:rPr>
              <w:t>CosmeticRevenueSplit</w:t>
            </w:r>
          </w:p>
        </w:tc>
        <w:tc>
          <w:tcPr>
            <w:tcW w:type="dxa" w:w="4986"/>
            <w:shd w:fill="F8FBFF"/>
            <w:vAlign w:val="center"/>
          </w:tcPr>
          <w:p>
            <w:pPr>
              <w:jc w:val="left"/>
            </w:pPr>
            <w:r/>
            <w:r>
              <w:rPr>
                <w:rFonts w:ascii="Aptos" w:hAnsi="Aptos"/>
                <w:b w:val="0"/>
                <w:sz w:val="19"/>
              </w:rPr>
              <w:t>Traçabilité de la répartition des revenus</w:t>
            </w:r>
          </w:p>
        </w:tc>
      </w:tr>
      <w:tr>
        <w:tc>
          <w:tcPr>
            <w:tcW w:type="dxa" w:w="4986"/>
            <w:shd w:fill="F8FBFF"/>
            <w:vAlign w:val="center"/>
          </w:tcPr>
          <w:p>
            <w:pPr>
              <w:jc w:val="left"/>
            </w:pPr>
            <w:r/>
            <w:r>
              <w:rPr>
                <w:rFonts w:ascii="Aptos" w:hAnsi="Aptos"/>
                <w:b/>
                <w:color w:val="2A56A6"/>
                <w:sz w:val="19"/>
              </w:rPr>
              <w:t>PlanetCosmeticTreasury</w:t>
            </w:r>
          </w:p>
        </w:tc>
        <w:tc>
          <w:tcPr>
            <w:tcW w:type="dxa" w:w="4986"/>
            <w:shd w:fill="F8FBFF"/>
            <w:vAlign w:val="center"/>
          </w:tcPr>
          <w:p>
            <w:pPr>
              <w:jc w:val="left"/>
            </w:pPr>
            <w:r/>
            <w:r>
              <w:rPr>
                <w:rFonts w:ascii="Aptos" w:hAnsi="Aptos"/>
                <w:b w:val="0"/>
                <w:sz w:val="19"/>
              </w:rPr>
              <w:t>Compte séparé pour la part faction / planète</w:t>
            </w:r>
          </w:p>
        </w:tc>
      </w:tr>
    </w:tbl>
    <w:p/>
    <w:p>
      <w:pPr>
        <w:pStyle w:val="SectionCustom"/>
      </w:pPr>
      <w:r>
        <w:t>11. Garde-fous opérationnels et juridiques</w:t>
      </w:r>
    </w:p>
    <w:p>
      <w:pPr>
        <w:pStyle w:val="ListBullet"/>
        <w:spacing w:after="40"/>
        <w:ind w:left="0"/>
      </w:pPr>
      <w:r>
        <w:t>Politique claire sur les marques, logos et références token avant ouverture publique aux créateurs.</w:t>
      </w:r>
    </w:p>
    <w:p>
      <w:pPr>
        <w:pStyle w:val="ListBullet"/>
        <w:spacing w:after="40"/>
        <w:ind w:left="0"/>
      </w:pPr>
      <w:r>
        <w:t>Validation de la provenance des créations et du droit d’exploitation commerciale.</w:t>
      </w:r>
    </w:p>
    <w:p>
      <w:pPr>
        <w:pStyle w:val="ListBullet"/>
        <w:spacing w:after="40"/>
        <w:ind w:left="0"/>
      </w:pPr>
      <w:r>
        <w:t>Charte visuelle par famille d’assets pour préserver la lisibilité.</w:t>
      </w:r>
    </w:p>
    <w:p>
      <w:pPr>
        <w:pStyle w:val="ListBullet"/>
        <w:spacing w:after="40"/>
        <w:ind w:left="0"/>
      </w:pPr>
      <w:r>
        <w:t>Versioning des skins et compatibilité avec les évolutions futures de la DA du jeu.</w:t>
      </w:r>
    </w:p>
    <w:p>
      <w:pPr>
        <w:pStyle w:val="ListBullet"/>
        <w:spacing w:after="40"/>
        <w:ind w:left="0"/>
      </w:pPr>
      <w:r>
        <w:t>Règles de retrait / archivage si un contenu devient problématique, illégal ou contraire aux guidelines.</w:t>
      </w:r>
    </w:p>
    <w:p>
      <w:pPr>
        <w:pStyle w:val="SectionCustom"/>
      </w:pPr>
      <w:r>
        <w:t>12. Impact stratégique pour Coinage</w:t>
      </w:r>
    </w:p>
    <w:p>
      <w:pPr>
        <w:spacing w:after="100"/>
      </w:pPr>
      <w:r>
        <w:rPr>
          <w:b/>
          <w:color w:val="172B4D"/>
        </w:rPr>
        <w:t xml:space="preserve">Lecture stratégique. </w:t>
      </w:r>
      <w:r>
        <w:t>Cette feature est plus qu’une couche cosmétique. Elle peut devenir un pilier de la stratégie produit.</w:t>
      </w:r>
    </w:p>
    <w:p>
      <w:pPr>
        <w:pStyle w:val="ListBullet"/>
        <w:spacing w:after="40"/>
        <w:ind w:left="0"/>
      </w:pPr>
      <w:r>
        <w:t>Monétisation non-P2W plus saine que des boosts fonctionnels.</w:t>
      </w:r>
    </w:p>
    <w:p>
      <w:pPr>
        <w:pStyle w:val="ListBullet"/>
        <w:spacing w:after="40"/>
        <w:ind w:left="0"/>
      </w:pPr>
      <w:r>
        <w:t>Narrative web3 naturelle : les communautés token financent leur image dans le jeu.</w:t>
      </w:r>
    </w:p>
    <w:p>
      <w:pPr>
        <w:pStyle w:val="ListBullet"/>
        <w:spacing w:after="40"/>
        <w:ind w:left="0"/>
      </w:pPr>
      <w:r>
        <w:t>UGC encadré : la communauté crée de la valeur, Coinage en reste l’éditeur.</w:t>
      </w:r>
    </w:p>
    <w:p>
      <w:pPr>
        <w:pStyle w:val="ListBullet"/>
        <w:spacing w:after="40"/>
        <w:ind w:left="0"/>
      </w:pPr>
      <w:r>
        <w:t>Le cosmétique devient un levier de rétention, d’identité et de différenciation entre factions.</w:t>
      </w:r>
    </w:p>
    <w:p>
      <w:pPr>
        <w:pStyle w:val="ListBullet"/>
        <w:spacing w:after="40"/>
        <w:ind w:left="0"/>
      </w:pPr>
      <w:r>
        <w:t>Potentiel événementiel fort : collections saisonnières, guerres thématiques, collaborations, récompenses mensuelles.</w:t>
      </w:r>
    </w:p>
    <w:p>
      <w:pPr>
        <w:pStyle w:val="SectionCustom"/>
      </w:pPr>
      <w:r>
        <w:t>13. Recommandation de lancement</w:t>
      </w:r>
    </w:p>
    <w:p>
      <w:pPr>
        <w:spacing w:after="100"/>
      </w:pPr>
      <w:r>
        <w:t>Le lancement ne doit pas être trop large. Il faut sortir une première version maîtrisée, lisible et monétisable rapidement : quelques tokens pilotes, trois packs seulement, paiement en USDC/USDT et validation manuelle intégrale par Coinage.</w:t>
      </w:r>
    </w:p>
    <w:tbl>
      <w:tblPr>
        <w:tblStyle w:val="TableGrid"/>
        <w:tblW w:type="auto" w:w="0"/>
        <w:jc w:val="center"/>
        <w:tblLook w:firstColumn="1" w:firstRow="1" w:lastColumn="0" w:lastRow="0" w:noHBand="0" w:noVBand="1" w:val="04A0"/>
      </w:tblPr>
      <w:tblGrid>
        <w:gridCol w:w="4986"/>
        <w:gridCol w:w="4986"/>
      </w:tblGrid>
      <w:tr>
        <w:tc>
          <w:tcPr>
            <w:tcW w:type="dxa" w:w="4986"/>
            <w:shd w:fill="DCE7F8"/>
            <w:vAlign w:val="center"/>
          </w:tcPr>
          <w:p>
            <w:pPr>
              <w:jc w:val="center"/>
            </w:pPr>
            <w:r/>
            <w:r>
              <w:rPr>
                <w:rFonts w:ascii="Aptos" w:hAnsi="Aptos"/>
                <w:b/>
                <w:color w:val="172B4D"/>
                <w:sz w:val="20"/>
              </w:rPr>
              <w:t>Bloc</w:t>
            </w:r>
          </w:p>
        </w:tc>
        <w:tc>
          <w:tcPr>
            <w:tcW w:type="dxa" w:w="4986"/>
            <w:shd w:fill="DCE7F8"/>
            <w:vAlign w:val="center"/>
          </w:tcPr>
          <w:p>
            <w:pPr>
              <w:jc w:val="center"/>
            </w:pPr>
            <w:r/>
            <w:r>
              <w:rPr>
                <w:rFonts w:ascii="Aptos" w:hAnsi="Aptos"/>
                <w:b/>
                <w:color w:val="172B4D"/>
                <w:sz w:val="20"/>
              </w:rPr>
              <w:t>Décision recommandée</w:t>
            </w:r>
          </w:p>
        </w:tc>
      </w:tr>
      <w:tr>
        <w:tc>
          <w:tcPr>
            <w:tcW w:type="dxa" w:w="4986"/>
            <w:shd w:fill="F8FBFF"/>
            <w:vAlign w:val="center"/>
          </w:tcPr>
          <w:p>
            <w:pPr>
              <w:jc w:val="left"/>
            </w:pPr>
            <w:r/>
            <w:r>
              <w:rPr>
                <w:rFonts w:ascii="Aptos" w:hAnsi="Aptos"/>
                <w:b w:val="0"/>
                <w:sz w:val="19"/>
              </w:rPr>
              <w:t>Catalogue initial</w:t>
            </w:r>
          </w:p>
        </w:tc>
        <w:tc>
          <w:tcPr>
            <w:tcW w:type="dxa" w:w="4986"/>
            <w:shd w:fill="F8FBFF"/>
            <w:vAlign w:val="center"/>
          </w:tcPr>
          <w:p>
            <w:r>
              <w:t>Quelques collections pilotes sur des tokens forts + 3 familles : troupes sol, troupes air, bâtiments</w:t>
            </w:r>
          </w:p>
        </w:tc>
      </w:tr>
      <w:tr>
        <w:tc>
          <w:tcPr>
            <w:tcW w:type="dxa" w:w="4986"/>
            <w:shd w:fill="EEF4FB"/>
            <w:vAlign w:val="center"/>
          </w:tcPr>
          <w:p>
            <w:pPr>
              <w:jc w:val="left"/>
            </w:pPr>
            <w:r/>
            <w:r>
              <w:rPr>
                <w:rFonts w:ascii="Aptos" w:hAnsi="Aptos"/>
                <w:b w:val="0"/>
                <w:sz w:val="19"/>
              </w:rPr>
              <w:t>Distribution</w:t>
            </w:r>
          </w:p>
        </w:tc>
        <w:tc>
          <w:tcPr>
            <w:tcW w:type="dxa" w:w="4986"/>
            <w:shd w:fill="EEF4FB"/>
            <w:vAlign w:val="center"/>
          </w:tcPr>
          <w:p>
            <w:pPr>
              <w:jc w:val="left"/>
            </w:pPr>
            <w:r/>
            <w:r>
              <w:rPr>
                <w:rFonts w:ascii="Aptos" w:hAnsi="Aptos"/>
                <w:b w:val="0"/>
                <w:sz w:val="19"/>
              </w:rPr>
              <w:t>Vente en packs uniquement au lancement, pas à l’unité</w:t>
            </w:r>
          </w:p>
        </w:tc>
      </w:tr>
      <w:tr>
        <w:tc>
          <w:tcPr>
            <w:tcW w:type="dxa" w:w="4986"/>
            <w:shd w:fill="F8FBFF"/>
            <w:vAlign w:val="center"/>
          </w:tcPr>
          <w:p>
            <w:pPr>
              <w:jc w:val="left"/>
            </w:pPr>
            <w:r/>
            <w:r>
              <w:rPr>
                <w:rFonts w:ascii="Aptos" w:hAnsi="Aptos"/>
                <w:b w:val="0"/>
                <w:sz w:val="19"/>
              </w:rPr>
              <w:t>Validation</w:t>
            </w:r>
          </w:p>
        </w:tc>
        <w:tc>
          <w:tcPr>
            <w:tcW w:type="dxa" w:w="4986"/>
            <w:shd w:fill="F8FBFF"/>
            <w:vAlign w:val="center"/>
          </w:tcPr>
          <w:p>
            <w:pPr>
              <w:jc w:val="left"/>
            </w:pPr>
            <w:r/>
            <w:r>
              <w:rPr>
                <w:rFonts w:ascii="Aptos" w:hAnsi="Aptos"/>
                <w:b w:val="0"/>
                <w:sz w:val="19"/>
              </w:rPr>
              <w:t>Validation manuelle Coinage avant publication</w:t>
            </w:r>
          </w:p>
        </w:tc>
      </w:tr>
      <w:tr>
        <w:tc>
          <w:tcPr>
            <w:tcW w:type="dxa" w:w="4986"/>
            <w:shd w:fill="EEF4FB"/>
            <w:vAlign w:val="center"/>
          </w:tcPr>
          <w:p>
            <w:pPr>
              <w:jc w:val="left"/>
            </w:pPr>
            <w:r/>
            <w:r>
              <w:rPr>
                <w:rFonts w:ascii="Aptos" w:hAnsi="Aptos"/>
                <w:b w:val="0"/>
                <w:sz w:val="19"/>
              </w:rPr>
              <w:t>Économie</w:t>
            </w:r>
          </w:p>
        </w:tc>
        <w:tc>
          <w:tcPr>
            <w:tcW w:type="dxa" w:w="4986"/>
            <w:shd w:fill="EEF4FB"/>
            <w:vAlign w:val="center"/>
          </w:tcPr>
          <w:p>
            <w:r>
              <w:t>Split primaire 35 / 35 / 30 + fee secondaire 5% redistribuée à 100% aux créateurs</w:t>
            </w:r>
          </w:p>
        </w:tc>
      </w:tr>
    </w:tbl>
    <w:p/>
    <w:p>
      <w:pPr>
        <w:spacing w:after="100"/>
      </w:pPr>
      <w:r>
        <w:t>Cette approche permet de tester l’appétence réelle, d’apprendre sur les usages et d’éviter de construire trop tôt une marketplace complexe.</w:t>
      </w:r>
    </w:p>
    <w:p>
      <w:pPr>
        <w:pStyle w:val="SectionCustom"/>
      </w:pPr>
      <w:r>
        <w:t>14. KPI à suivre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CE7F8"/>
            <w:vAlign w:val="center"/>
          </w:tcPr>
          <w:p>
            <w:pPr>
              <w:jc w:val="center"/>
            </w:pPr>
            <w:r/>
            <w:r>
              <w:rPr>
                <w:rFonts w:ascii="Aptos" w:hAnsi="Aptos"/>
                <w:b/>
                <w:color w:val="172B4D"/>
                <w:sz w:val="20"/>
              </w:rPr>
              <w:t>KPI</w:t>
            </w:r>
          </w:p>
        </w:tc>
        <w:tc>
          <w:tcPr>
            <w:tcW w:type="dxa" w:w="3324"/>
            <w:shd w:fill="DCE7F8"/>
            <w:vAlign w:val="center"/>
          </w:tcPr>
          <w:p>
            <w:pPr>
              <w:jc w:val="center"/>
            </w:pPr>
            <w:r/>
            <w:r>
              <w:rPr>
                <w:rFonts w:ascii="Aptos" w:hAnsi="Aptos"/>
                <w:b/>
                <w:color w:val="172B4D"/>
                <w:sz w:val="20"/>
              </w:rPr>
              <w:t>Pourquoi c’est important</w:t>
            </w:r>
          </w:p>
        </w:tc>
        <w:tc>
          <w:tcPr>
            <w:tcW w:type="dxa" w:w="3324"/>
            <w:shd w:fill="DCE7F8"/>
            <w:vAlign w:val="center"/>
          </w:tcPr>
          <w:p>
            <w:pPr>
              <w:jc w:val="center"/>
            </w:pPr>
            <w:r/>
            <w:r>
              <w:rPr>
                <w:rFonts w:ascii="Aptos" w:hAnsi="Aptos"/>
                <w:b/>
                <w:color w:val="172B4D"/>
                <w:sz w:val="20"/>
              </w:rPr>
              <w:t>Signal de réussite</w:t>
            </w:r>
          </w:p>
        </w:tc>
      </w:tr>
      <w:tr>
        <w:tc>
          <w:tcPr>
            <w:tcW w:type="dxa" w:w="3324"/>
            <w:shd w:fill="F8FBFF"/>
            <w:vAlign w:val="center"/>
          </w:tcPr>
          <w:p>
            <w:pPr>
              <w:jc w:val="left"/>
            </w:pPr>
            <w:r/>
            <w:r>
              <w:rPr>
                <w:rFonts w:ascii="Aptos" w:hAnsi="Aptos"/>
                <w:b w:val="0"/>
                <w:sz w:val="18"/>
              </w:rPr>
              <w:t>Taux d’achat par planète</w:t>
            </w:r>
          </w:p>
        </w:tc>
        <w:tc>
          <w:tcPr>
            <w:tcW w:type="dxa" w:w="3324"/>
            <w:shd w:fill="F8FBFF"/>
            <w:vAlign w:val="center"/>
          </w:tcPr>
          <w:p>
            <w:pPr>
              <w:jc w:val="left"/>
            </w:pPr>
            <w:r/>
            <w:r>
              <w:rPr>
                <w:rFonts w:ascii="Aptos" w:hAnsi="Aptos"/>
                <w:b w:val="0"/>
                <w:sz w:val="18"/>
              </w:rPr>
              <w:t>Mesure la force d’attachement communautaire</w:t>
            </w:r>
          </w:p>
        </w:tc>
        <w:tc>
          <w:tcPr>
            <w:tcW w:type="dxa" w:w="3324"/>
            <w:shd w:fill="F8FBFF"/>
            <w:vAlign w:val="center"/>
          </w:tcPr>
          <w:p>
            <w:pPr>
              <w:jc w:val="left"/>
            </w:pPr>
            <w:r/>
            <w:r>
              <w:rPr>
                <w:rFonts w:ascii="Aptos" w:hAnsi="Aptos"/>
                <w:b w:val="0"/>
                <w:sz w:val="18"/>
              </w:rPr>
              <w:t>Certaines factions sur-indexent naturellement</w:t>
            </w:r>
          </w:p>
        </w:tc>
      </w:tr>
      <w:tr>
        <w:tc>
          <w:tcPr>
            <w:tcW w:type="dxa" w:w="3324"/>
            <w:shd w:fill="F8FBFF"/>
            <w:vAlign w:val="center"/>
          </w:tcPr>
          <w:p>
            <w:pPr>
              <w:jc w:val="left"/>
            </w:pPr>
            <w:r/>
            <w:r>
              <w:rPr>
                <w:rFonts w:ascii="Aptos" w:hAnsi="Aptos"/>
                <w:b w:val="0"/>
                <w:sz w:val="18"/>
              </w:rPr>
              <w:t>ARPPU cosmétique</w:t>
            </w:r>
          </w:p>
        </w:tc>
        <w:tc>
          <w:tcPr>
            <w:tcW w:type="dxa" w:w="3324"/>
            <w:shd w:fill="F8FBFF"/>
            <w:vAlign w:val="center"/>
          </w:tcPr>
          <w:p>
            <w:pPr>
              <w:jc w:val="left"/>
            </w:pPr>
            <w:r/>
            <w:r>
              <w:rPr>
                <w:rFonts w:ascii="Aptos" w:hAnsi="Aptos"/>
                <w:b w:val="0"/>
                <w:sz w:val="18"/>
              </w:rPr>
              <w:t>Mesure la valeur monétaire du catalogue</w:t>
            </w:r>
          </w:p>
        </w:tc>
        <w:tc>
          <w:tcPr>
            <w:tcW w:type="dxa" w:w="3324"/>
            <w:shd w:fill="F8FBFF"/>
            <w:vAlign w:val="center"/>
          </w:tcPr>
          <w:p>
            <w:pPr>
              <w:jc w:val="left"/>
            </w:pPr>
            <w:r/>
            <w:r>
              <w:rPr>
                <w:rFonts w:ascii="Aptos" w:hAnsi="Aptos"/>
                <w:b w:val="0"/>
                <w:sz w:val="18"/>
              </w:rPr>
              <w:t>Packs perçus comme premium mais accessibles</w:t>
            </w:r>
          </w:p>
        </w:tc>
      </w:tr>
      <w:tr>
        <w:tc>
          <w:tcPr>
            <w:tcW w:type="dxa" w:w="3324"/>
            <w:shd w:fill="F8FBFF"/>
            <w:vAlign w:val="center"/>
          </w:tcPr>
          <w:p>
            <w:pPr>
              <w:jc w:val="left"/>
            </w:pPr>
            <w:r/>
            <w:r>
              <w:rPr>
                <w:rFonts w:ascii="Aptos" w:hAnsi="Aptos"/>
                <w:b w:val="0"/>
                <w:sz w:val="18"/>
              </w:rPr>
              <w:t>Taux d’équipement post-achat</w:t>
            </w:r>
          </w:p>
        </w:tc>
        <w:tc>
          <w:tcPr>
            <w:tcW w:type="dxa" w:w="3324"/>
            <w:shd w:fill="F8FBFF"/>
            <w:vAlign w:val="center"/>
          </w:tcPr>
          <w:p>
            <w:pPr>
              <w:jc w:val="left"/>
            </w:pPr>
            <w:r/>
            <w:r>
              <w:rPr>
                <w:rFonts w:ascii="Aptos" w:hAnsi="Aptos"/>
                <w:b w:val="0"/>
                <w:sz w:val="18"/>
              </w:rPr>
              <w:t>Mesure l’utilité perçue du skin</w:t>
            </w:r>
          </w:p>
        </w:tc>
        <w:tc>
          <w:tcPr>
            <w:tcW w:type="dxa" w:w="3324"/>
            <w:shd w:fill="F8FBFF"/>
            <w:vAlign w:val="center"/>
          </w:tcPr>
          <w:p>
            <w:pPr>
              <w:jc w:val="left"/>
            </w:pPr>
            <w:r/>
            <w:r>
              <w:rPr>
                <w:rFonts w:ascii="Aptos" w:hAnsi="Aptos"/>
                <w:b w:val="0"/>
                <w:sz w:val="18"/>
              </w:rPr>
              <w:t>Le joueur équipe immédiatement le pack</w:t>
            </w:r>
          </w:p>
        </w:tc>
      </w:tr>
      <w:tr>
        <w:tc>
          <w:tcPr>
            <w:tcW w:type="dxa" w:w="3324"/>
            <w:shd w:fill="F8FBFF"/>
            <w:vAlign w:val="center"/>
          </w:tcPr>
          <w:p>
            <w:pPr>
              <w:jc w:val="left"/>
            </w:pPr>
            <w:r/>
            <w:r>
              <w:rPr>
                <w:rFonts w:ascii="Aptos" w:hAnsi="Aptos"/>
                <w:b w:val="0"/>
                <w:sz w:val="18"/>
              </w:rPr>
              <w:t>Revenus redistribués créateurs</w:t>
            </w:r>
          </w:p>
        </w:tc>
        <w:tc>
          <w:tcPr>
            <w:tcW w:type="dxa" w:w="3324"/>
            <w:shd w:fill="F8FBFF"/>
            <w:vAlign w:val="center"/>
          </w:tcPr>
          <w:p>
            <w:pPr>
              <w:jc w:val="left"/>
            </w:pPr>
            <w:r/>
            <w:r>
              <w:rPr>
                <w:rFonts w:ascii="Aptos" w:hAnsi="Aptos"/>
                <w:b w:val="0"/>
                <w:sz w:val="18"/>
              </w:rPr>
              <w:t>Mesure l’attractivité du programme créateur</w:t>
            </w:r>
          </w:p>
        </w:tc>
        <w:tc>
          <w:tcPr>
            <w:tcW w:type="dxa" w:w="3324"/>
            <w:shd w:fill="F8FBFF"/>
            <w:vAlign w:val="center"/>
          </w:tcPr>
          <w:p>
            <w:pPr>
              <w:jc w:val="left"/>
            </w:pPr>
            <w:r/>
            <w:r>
              <w:rPr>
                <w:rFonts w:ascii="Aptos" w:hAnsi="Aptos"/>
                <w:b w:val="0"/>
                <w:sz w:val="18"/>
              </w:rPr>
              <w:t>Le modèle attire des propositions de qualité</w:t>
            </w:r>
          </w:p>
        </w:tc>
      </w:tr>
      <w:tr>
        <w:tc>
          <w:tcPr>
            <w:tcW w:type="dxa" w:w="3324"/>
            <w:shd w:fill="F8FBFF"/>
            <w:vAlign w:val="center"/>
          </w:tcPr>
          <w:p>
            <w:pPr>
              <w:jc w:val="left"/>
            </w:pPr>
            <w:r/>
            <w:r>
              <w:rPr>
                <w:rFonts w:ascii="Aptos" w:hAnsi="Aptos"/>
                <w:b w:val="0"/>
                <w:sz w:val="18"/>
              </w:rPr>
              <w:t>Part de joueurs exposés aux skins</w:t>
            </w:r>
          </w:p>
        </w:tc>
        <w:tc>
          <w:tcPr>
            <w:tcW w:type="dxa" w:w="3324"/>
            <w:shd w:fill="F8FBFF"/>
            <w:vAlign w:val="center"/>
          </w:tcPr>
          <w:p>
            <w:pPr>
              <w:jc w:val="left"/>
            </w:pPr>
            <w:r/>
            <w:r>
              <w:rPr>
                <w:rFonts w:ascii="Aptos" w:hAnsi="Aptos"/>
                <w:b w:val="0"/>
                <w:sz w:val="18"/>
              </w:rPr>
              <w:t>Mesure la visibilité sociale du système</w:t>
            </w:r>
          </w:p>
        </w:tc>
        <w:tc>
          <w:tcPr>
            <w:tcW w:type="dxa" w:w="3324"/>
            <w:shd w:fill="F8FBFF"/>
            <w:vAlign w:val="center"/>
          </w:tcPr>
          <w:p>
            <w:pPr>
              <w:jc w:val="left"/>
            </w:pPr>
            <w:r/>
            <w:r>
              <w:rPr>
                <w:rFonts w:ascii="Aptos" w:hAnsi="Aptos"/>
                <w:b w:val="0"/>
                <w:sz w:val="18"/>
              </w:rPr>
              <w:t>Les cosmétiques deviennent visibles dans les loops clés</w:t>
            </w:r>
          </w:p>
        </w:tc>
      </w:tr>
    </w:tbl>
    <w:p/>
    <w:p>
      <w:pPr>
        <w:pStyle w:val="SectionCustom"/>
      </w:pPr>
      <w:r>
        <w:t>15. Décisions de cadrage intégrées</w:t>
      </w:r>
    </w:p>
    <w:p>
      <w:pPr>
        <w:pStyle w:val="ListBullet"/>
        <w:spacing w:after="40"/>
        <w:ind w:left="0"/>
      </w:pPr>
      <w:r>
        <w:t>• Périmètre initial : pas de skin planète ni de skin ville au lancement ; focus exclusif sur Pack Troupes Sol, Pack Troupes Air et Pack Bâtiments.</w:t>
      </w:r>
    </w:p>
    <w:p>
      <w:pPr>
        <w:pStyle w:val="ListBullet"/>
        <w:spacing w:after="40"/>
        <w:ind w:left="0"/>
      </w:pPr>
      <w:r>
        <w:t>• Structure de collection : pas de rareté complexe ; logique de collections simples et lisibles.</w:t>
      </w:r>
    </w:p>
    <w:p>
      <w:pPr>
        <w:pStyle w:val="ListBullet"/>
        <w:spacing w:after="40"/>
        <w:ind w:left="0"/>
      </w:pPr>
      <w:r>
        <w:t>• Paiement : les cosmétiques sont payés en USDC / USDT, pas via les Shards.</w:t>
      </w:r>
    </w:p>
    <w:p>
      <w:pPr>
        <w:pStyle w:val="ListBullet"/>
        <w:spacing w:after="40"/>
        <w:ind w:left="0"/>
      </w:pPr>
      <w:r>
        <w:t>• Trésor cosmétique planétaire : orientation cible = gouvernance par le Conseil avec vote obligatoire et garde-fous anti-captation ; usages possibles = soutien du token, redistribution contrôlée aux joueurs, usages in-game encore à préciser.</w:t>
      </w:r>
    </w:p>
    <w:p>
      <w:pPr>
        <w:pStyle w:val="ListBullet"/>
        <w:spacing w:after="40"/>
        <w:ind w:left="0"/>
      </w:pPr>
      <w:r>
        <w:t>• Timing de lancement : pas encore tranché, mais logique probable après la première saison de test.</w:t>
      </w:r>
    </w:p>
    <w:p>
      <w:pPr>
        <w:pStyle w:val="SectionCustom"/>
      </w:pPr>
      <w:r>
        <w:t>16. Conclusion</w:t>
      </w:r>
    </w:p>
    <w:p>
      <w:pPr>
        <w:spacing w:after="100"/>
      </w:pPr>
      <w:r>
        <w:t>Community Cosmetics est une feature forte pour Coinage parce qu’elle aligne produit, monétisation et identité communautaire sans vendre de puissance. Avec un catalogue simple, des paiements en stablecoins et une propriété NFT réelle des skins, la feature peut devenir un pilier de rétention et de revenus.</w:t>
      </w:r>
    </w:p>
    <w:p>
      <w:pPr>
        <w:spacing w:after="100"/>
      </w:pPr>
      <w:r>
        <w:t>La recommandation est claire : préparer l’architecture dès maintenant, lancer plus tard une première version simple et éditorialisée, puis étendre progressivement la couche créateur et les usages événementiels.</w:t>
      </w:r>
    </w:p>
    <w:p>
      <w:r>
        <w:br w:type="page"/>
      </w:r>
    </w:p>
    <w:p>
      <w:pPr>
        <w:pStyle w:val="SectionCustom"/>
      </w:pPr>
      <w:r>
        <w:t>17. Packaging commercial et règles NFT</w:t>
      </w:r>
    </w:p>
    <w:p>
      <w:pPr>
        <w:pStyle w:val="BodyText"/>
      </w:pPr>
      <w:r>
        <w:t>Le packaging commercial recommandé pour la V1 de la feature repose sur trois packs monétisés immédiatement : Pack Troupes Sol à $19.99, Pack Troupes Air à $19.99 et Pack Bâtiments à $29.99.</w:t>
      </w:r>
    </w:p>
    <w:p>
      <w:pPr>
        <w:pStyle w:val="BodyText"/>
      </w:pPr>
      <w:r>
        <w:t>Chaque pack est émis sous forme de NFTs cosmétiques limités. La majorité des éditions est time-limited ; quelques drops spéciaux seulement peuvent être quantity-capped. Les collections restent simples, sans système de rareté multicouche au lancement.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Pack</w:t>
            </w:r>
          </w:p>
        </w:tc>
        <w:tc>
          <w:tcPr>
            <w:tcW w:type="dxa" w:w="2493"/>
          </w:tcPr>
          <w:p>
            <w:r>
              <w:t>Prix public</w:t>
            </w:r>
          </w:p>
        </w:tc>
        <w:tc>
          <w:tcPr>
            <w:tcW w:type="dxa" w:w="2493"/>
          </w:tcPr>
          <w:p>
            <w:r>
              <w:t>Format</w:t>
            </w:r>
          </w:p>
        </w:tc>
        <w:tc>
          <w:tcPr>
            <w:tcW w:type="dxa" w:w="2493"/>
          </w:tcPr>
          <w:p>
            <w:r>
              <w:t>Remarque</w:t>
            </w:r>
          </w:p>
        </w:tc>
      </w:tr>
      <w:tr>
        <w:tc>
          <w:tcPr>
            <w:tcW w:type="dxa" w:w="2493"/>
          </w:tcPr>
          <w:p>
            <w:r>
              <w:t>Pack Troupes Sol</w:t>
            </w:r>
          </w:p>
        </w:tc>
        <w:tc>
          <w:tcPr>
            <w:tcW w:type="dxa" w:w="2493"/>
          </w:tcPr>
          <w:p>
            <w:r>
              <w:t>$19.99</w:t>
            </w:r>
          </w:p>
        </w:tc>
        <w:tc>
          <w:tcPr>
            <w:tcW w:type="dxa" w:w="2493"/>
          </w:tcPr>
          <w:p>
            <w:r>
              <w:t>NFT limité</w:t>
            </w:r>
          </w:p>
        </w:tc>
        <w:tc>
          <w:tcPr>
            <w:tcW w:type="dxa" w:w="2493"/>
          </w:tcPr>
          <w:p>
            <w:r>
              <w:t>Unités terrestres uniquement</w:t>
            </w:r>
          </w:p>
        </w:tc>
      </w:tr>
      <w:tr>
        <w:tc>
          <w:tcPr>
            <w:tcW w:type="dxa" w:w="2493"/>
          </w:tcPr>
          <w:p>
            <w:r>
              <w:t>Pack Troupes Air</w:t>
            </w:r>
          </w:p>
        </w:tc>
        <w:tc>
          <w:tcPr>
            <w:tcW w:type="dxa" w:w="2493"/>
          </w:tcPr>
          <w:p>
            <w:r>
              <w:t>$19.99</w:t>
            </w:r>
          </w:p>
        </w:tc>
        <w:tc>
          <w:tcPr>
            <w:tcW w:type="dxa" w:w="2493"/>
          </w:tcPr>
          <w:p>
            <w:r>
              <w:t>NFT limité</w:t>
            </w:r>
          </w:p>
        </w:tc>
        <w:tc>
          <w:tcPr>
            <w:tcW w:type="dxa" w:w="2493"/>
          </w:tcPr>
          <w:p>
            <w:r>
              <w:t>Unités aériennes uniquement</w:t>
            </w:r>
          </w:p>
        </w:tc>
      </w:tr>
      <w:tr>
        <w:tc>
          <w:tcPr>
            <w:tcW w:type="dxa" w:w="2493"/>
          </w:tcPr>
          <w:p>
            <w:r>
              <w:t>Pack Bâtiments</w:t>
            </w:r>
          </w:p>
        </w:tc>
        <w:tc>
          <w:tcPr>
            <w:tcW w:type="dxa" w:w="2493"/>
          </w:tcPr>
          <w:p>
            <w:r>
              <w:t>$29.99</w:t>
            </w:r>
          </w:p>
        </w:tc>
        <w:tc>
          <w:tcPr>
            <w:tcW w:type="dxa" w:w="2493"/>
          </w:tcPr>
          <w:p>
            <w:r>
              <w:t>NFT limité</w:t>
            </w:r>
          </w:p>
        </w:tc>
        <w:tc>
          <w:tcPr>
            <w:tcW w:type="dxa" w:w="2493"/>
          </w:tcPr>
          <w:p>
            <w:r>
              <w:t>Skin set pour bâtiments compatibles</w:t>
            </w:r>
          </w:p>
        </w:tc>
      </w:tr>
    </w:tbl>
    <w:p>
      <w:pPr>
        <w:pStyle w:val="BodyText"/>
      </w:pPr>
    </w:p>
    <w:p>
      <w:pPr>
        <w:pStyle w:val="BodyText"/>
      </w:pPr>
      <w:r>
        <w:t>Chaque skin contenu dans un pack correspond à un NFT individuel. Il n’existe donc pas de revente de “pack” sur le secondaire : les joueurs revendent des skins unitaires. Les NFTs sont toujours librement revendables, avec une logique générale de non-réédition sauf exceptions rares et clairement annoncées.</w:t>
      </w:r>
    </w:p>
    <w:p>
      <w:pPr>
        <w:pStyle w:val="SectionCustom"/>
      </w:pPr>
      <w:r>
        <w:t>18. Prévisionnel de revenus - Saison 1</w:t>
      </w:r>
    </w:p>
    <w:p>
      <w:pPr>
        <w:pStyle w:val="BodyText"/>
      </w:pPr>
      <w:r>
        <w:t>Hypothèse structurante retenue : scénario moyen sur la Saison 1 = 500 ventes de Pack Troupes Sol, 500 ventes de Pack Troupes Air et 500 ventes de Pack Bâtiments, tous tokens confondus.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Scénario</w:t>
            </w:r>
          </w:p>
        </w:tc>
        <w:tc>
          <w:tcPr>
            <w:tcW w:type="dxa" w:w="1246"/>
          </w:tcPr>
          <w:p>
            <w:r>
              <w:t>Qté Sol</w:t>
            </w:r>
          </w:p>
        </w:tc>
        <w:tc>
          <w:tcPr>
            <w:tcW w:type="dxa" w:w="1246"/>
          </w:tcPr>
          <w:p>
            <w:r>
              <w:t>Qté Air</w:t>
            </w:r>
          </w:p>
        </w:tc>
        <w:tc>
          <w:tcPr>
            <w:tcW w:type="dxa" w:w="1246"/>
          </w:tcPr>
          <w:p>
            <w:r>
              <w:t>Qté Build</w:t>
            </w:r>
          </w:p>
        </w:tc>
        <w:tc>
          <w:tcPr>
            <w:tcW w:type="dxa" w:w="1246"/>
          </w:tcPr>
          <w:p>
            <w:r>
              <w:t>CA brut primaire</w:t>
            </w:r>
          </w:p>
        </w:tc>
        <w:tc>
          <w:tcPr>
            <w:tcW w:type="dxa" w:w="1246"/>
          </w:tcPr>
          <w:p>
            <w:r>
              <w:t>Créateurs 35%</w:t>
            </w:r>
          </w:p>
        </w:tc>
        <w:tc>
          <w:tcPr>
            <w:tcW w:type="dxa" w:w="1246"/>
          </w:tcPr>
          <w:p>
            <w:r>
              <w:t>Planètes 35%</w:t>
            </w:r>
          </w:p>
        </w:tc>
        <w:tc>
          <w:tcPr>
            <w:tcW w:type="dxa" w:w="1246"/>
          </w:tcPr>
          <w:p>
            <w:r>
              <w:t>Coinage 30%</w:t>
            </w:r>
          </w:p>
        </w:tc>
      </w:tr>
      <w:tr>
        <w:tc>
          <w:tcPr>
            <w:tcW w:type="dxa" w:w="1246"/>
          </w:tcPr>
          <w:p>
            <w:r>
              <w:t>Basse</w:t>
            </w:r>
          </w:p>
        </w:tc>
        <w:tc>
          <w:tcPr>
            <w:tcW w:type="dxa" w:w="1246"/>
          </w:tcPr>
          <w:p>
            <w:r>
              <w:t>250</w:t>
            </w:r>
          </w:p>
        </w:tc>
        <w:tc>
          <w:tcPr>
            <w:tcW w:type="dxa" w:w="1246"/>
          </w:tcPr>
          <w:p>
            <w:r>
              <w:t>250</w:t>
            </w:r>
          </w:p>
        </w:tc>
        <w:tc>
          <w:tcPr>
            <w:tcW w:type="dxa" w:w="1246"/>
          </w:tcPr>
          <w:p>
            <w:r>
              <w:t>250</w:t>
            </w:r>
          </w:p>
        </w:tc>
        <w:tc>
          <w:tcPr>
            <w:tcW w:type="dxa" w:w="1246"/>
          </w:tcPr>
          <w:p>
            <w:r>
              <w:t>$17,492.50</w:t>
            </w:r>
          </w:p>
        </w:tc>
        <w:tc>
          <w:tcPr>
            <w:tcW w:type="dxa" w:w="1246"/>
          </w:tcPr>
          <w:p>
            <w:r>
              <w:t>$6,122.38</w:t>
            </w:r>
          </w:p>
        </w:tc>
        <w:tc>
          <w:tcPr>
            <w:tcW w:type="dxa" w:w="1246"/>
          </w:tcPr>
          <w:p>
            <w:r>
              <w:t>$6,122.38</w:t>
            </w:r>
          </w:p>
        </w:tc>
        <w:tc>
          <w:tcPr>
            <w:tcW w:type="dxa" w:w="1246"/>
          </w:tcPr>
          <w:p>
            <w:r>
              <w:t>$5,247.75</w:t>
            </w:r>
          </w:p>
        </w:tc>
      </w:tr>
      <w:tr>
        <w:tc>
          <w:tcPr>
            <w:tcW w:type="dxa" w:w="1246"/>
          </w:tcPr>
          <w:p>
            <w:r>
              <w:t>Moyenne</w:t>
            </w:r>
          </w:p>
        </w:tc>
        <w:tc>
          <w:tcPr>
            <w:tcW w:type="dxa" w:w="1246"/>
          </w:tcPr>
          <w:p>
            <w:r>
              <w:t>500</w:t>
            </w:r>
          </w:p>
        </w:tc>
        <w:tc>
          <w:tcPr>
            <w:tcW w:type="dxa" w:w="1246"/>
          </w:tcPr>
          <w:p>
            <w:r>
              <w:t>500</w:t>
            </w:r>
          </w:p>
        </w:tc>
        <w:tc>
          <w:tcPr>
            <w:tcW w:type="dxa" w:w="1246"/>
          </w:tcPr>
          <w:p>
            <w:r>
              <w:t>500</w:t>
            </w:r>
          </w:p>
        </w:tc>
        <w:tc>
          <w:tcPr>
            <w:tcW w:type="dxa" w:w="1246"/>
          </w:tcPr>
          <w:p>
            <w:r>
              <w:t>$34,985.00</w:t>
            </w:r>
          </w:p>
        </w:tc>
        <w:tc>
          <w:tcPr>
            <w:tcW w:type="dxa" w:w="1246"/>
          </w:tcPr>
          <w:p>
            <w:r>
              <w:t>$12,244.75</w:t>
            </w:r>
          </w:p>
        </w:tc>
        <w:tc>
          <w:tcPr>
            <w:tcW w:type="dxa" w:w="1246"/>
          </w:tcPr>
          <w:p>
            <w:r>
              <w:t>$12,244.75</w:t>
            </w:r>
          </w:p>
        </w:tc>
        <w:tc>
          <w:tcPr>
            <w:tcW w:type="dxa" w:w="1246"/>
          </w:tcPr>
          <w:p>
            <w:r>
              <w:t>$10,495.50</w:t>
            </w:r>
          </w:p>
        </w:tc>
      </w:tr>
      <w:tr>
        <w:tc>
          <w:tcPr>
            <w:tcW w:type="dxa" w:w="1246"/>
          </w:tcPr>
          <w:p>
            <w:r>
              <w:t>Haute</w:t>
            </w:r>
          </w:p>
        </w:tc>
        <w:tc>
          <w:tcPr>
            <w:tcW w:type="dxa" w:w="1246"/>
          </w:tcPr>
          <w:p>
            <w:r>
              <w:t>750</w:t>
            </w:r>
          </w:p>
        </w:tc>
        <w:tc>
          <w:tcPr>
            <w:tcW w:type="dxa" w:w="1246"/>
          </w:tcPr>
          <w:p>
            <w:r>
              <w:t>750</w:t>
            </w:r>
          </w:p>
        </w:tc>
        <w:tc>
          <w:tcPr>
            <w:tcW w:type="dxa" w:w="1246"/>
          </w:tcPr>
          <w:p>
            <w:r>
              <w:t>750</w:t>
            </w:r>
          </w:p>
        </w:tc>
        <w:tc>
          <w:tcPr>
            <w:tcW w:type="dxa" w:w="1246"/>
          </w:tcPr>
          <w:p>
            <w:r>
              <w:t>$52,477.50</w:t>
            </w:r>
          </w:p>
        </w:tc>
        <w:tc>
          <w:tcPr>
            <w:tcW w:type="dxa" w:w="1246"/>
          </w:tcPr>
          <w:p>
            <w:r>
              <w:t>$18,367.12</w:t>
            </w:r>
          </w:p>
        </w:tc>
        <w:tc>
          <w:tcPr>
            <w:tcW w:type="dxa" w:w="1246"/>
          </w:tcPr>
          <w:p>
            <w:r>
              <w:t>$18,367.12</w:t>
            </w:r>
          </w:p>
        </w:tc>
        <w:tc>
          <w:tcPr>
            <w:tcW w:type="dxa" w:w="1246"/>
          </w:tcPr>
          <w:p>
            <w:r>
              <w:t>$15,743.25</w:t>
            </w:r>
          </w:p>
        </w:tc>
      </w:tr>
    </w:tbl>
    <w:p>
      <w:pPr>
        <w:pStyle w:val="BodyText"/>
      </w:pPr>
    </w:p>
    <w:p>
      <w:pPr>
        <w:pStyle w:val="BodyText"/>
      </w:pPr>
      <w:r>
        <w:t>Lecture directe du scénario moyen : 1 500 packs vendus au total sur la Saison 1 (500 Sol + 500 Air + 500 Bâtiments) génèrent un chiffre d’affaires brut primaire de $34,985.00.</w:t>
      </w:r>
    </w:p>
    <w:p>
      <w:pPr>
        <w:pStyle w:val="BodyText"/>
      </w:pPr>
      <w:r>
        <w:t>Détail du scénario moyen par ligne de produit avec split primaire 35% créateurs / 35% planètes / 30% Coinage :</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t>Pack</w:t>
            </w:r>
          </w:p>
        </w:tc>
        <w:tc>
          <w:tcPr>
            <w:tcW w:type="dxa" w:w="1662"/>
          </w:tcPr>
          <w:p>
            <w:r>
              <w:t>Prix</w:t>
            </w:r>
          </w:p>
        </w:tc>
        <w:tc>
          <w:tcPr>
            <w:tcW w:type="dxa" w:w="1662"/>
          </w:tcPr>
          <w:p>
            <w:r>
              <w:t>Volume Saison 1</w:t>
            </w:r>
          </w:p>
        </w:tc>
        <w:tc>
          <w:tcPr>
            <w:tcW w:type="dxa" w:w="1662"/>
          </w:tcPr>
          <w:p>
            <w:r>
              <w:t>CA brut</w:t>
            </w:r>
          </w:p>
        </w:tc>
        <w:tc>
          <w:tcPr>
            <w:tcW w:type="dxa" w:w="1662"/>
          </w:tcPr>
          <w:p>
            <w:r>
              <w:t>Créateurs 35%</w:t>
            </w:r>
          </w:p>
        </w:tc>
        <w:tc>
          <w:tcPr>
            <w:tcW w:type="dxa" w:w="1662"/>
          </w:tcPr>
          <w:p>
            <w:r>
              <w:t>Planètes 35% / Coinage 30%</w:t>
            </w:r>
          </w:p>
        </w:tc>
      </w:tr>
      <w:tr>
        <w:tc>
          <w:tcPr>
            <w:tcW w:type="dxa" w:w="1662"/>
          </w:tcPr>
          <w:p>
            <w:r>
              <w:t>Pack Troupes Sol</w:t>
            </w:r>
          </w:p>
        </w:tc>
        <w:tc>
          <w:tcPr>
            <w:tcW w:type="dxa" w:w="1662"/>
          </w:tcPr>
          <w:p>
            <w:r>
              <w:t>$19.99</w:t>
            </w:r>
          </w:p>
        </w:tc>
        <w:tc>
          <w:tcPr>
            <w:tcW w:type="dxa" w:w="1662"/>
          </w:tcPr>
          <w:p>
            <w:r>
              <w:t>500</w:t>
            </w:r>
          </w:p>
        </w:tc>
        <w:tc>
          <w:tcPr>
            <w:tcW w:type="dxa" w:w="1662"/>
          </w:tcPr>
          <w:p>
            <w:r>
              <w:t>$9,995.00</w:t>
            </w:r>
          </w:p>
        </w:tc>
        <w:tc>
          <w:tcPr>
            <w:tcW w:type="dxa" w:w="1662"/>
          </w:tcPr>
          <w:p>
            <w:r>
              <w:t>$3,498.25</w:t>
            </w:r>
          </w:p>
        </w:tc>
        <w:tc>
          <w:tcPr>
            <w:tcW w:type="dxa" w:w="1662"/>
          </w:tcPr>
          <w:p>
            <w:r>
              <w:t>$3,498.25 / $2,998.50</w:t>
            </w:r>
          </w:p>
        </w:tc>
      </w:tr>
      <w:tr>
        <w:tc>
          <w:tcPr>
            <w:tcW w:type="dxa" w:w="1662"/>
          </w:tcPr>
          <w:p>
            <w:r>
              <w:t>Pack Troupes Air</w:t>
            </w:r>
          </w:p>
        </w:tc>
        <w:tc>
          <w:tcPr>
            <w:tcW w:type="dxa" w:w="1662"/>
          </w:tcPr>
          <w:p>
            <w:r>
              <w:t>$19.99</w:t>
            </w:r>
          </w:p>
        </w:tc>
        <w:tc>
          <w:tcPr>
            <w:tcW w:type="dxa" w:w="1662"/>
          </w:tcPr>
          <w:p>
            <w:r>
              <w:t>500</w:t>
            </w:r>
          </w:p>
        </w:tc>
        <w:tc>
          <w:tcPr>
            <w:tcW w:type="dxa" w:w="1662"/>
          </w:tcPr>
          <w:p>
            <w:r>
              <w:t>$9,995.00</w:t>
            </w:r>
          </w:p>
        </w:tc>
        <w:tc>
          <w:tcPr>
            <w:tcW w:type="dxa" w:w="1662"/>
          </w:tcPr>
          <w:p>
            <w:r>
              <w:t>$3,498.25</w:t>
            </w:r>
          </w:p>
        </w:tc>
        <w:tc>
          <w:tcPr>
            <w:tcW w:type="dxa" w:w="1662"/>
          </w:tcPr>
          <w:p>
            <w:r>
              <w:t>$3,498.25 / $2,998.50</w:t>
            </w:r>
          </w:p>
        </w:tc>
      </w:tr>
      <w:tr>
        <w:tc>
          <w:tcPr>
            <w:tcW w:type="dxa" w:w="1662"/>
          </w:tcPr>
          <w:p>
            <w:r>
              <w:t>Pack Bâtiments</w:t>
            </w:r>
          </w:p>
        </w:tc>
        <w:tc>
          <w:tcPr>
            <w:tcW w:type="dxa" w:w="1662"/>
          </w:tcPr>
          <w:p>
            <w:r>
              <w:t>$29.99</w:t>
            </w:r>
          </w:p>
        </w:tc>
        <w:tc>
          <w:tcPr>
            <w:tcW w:type="dxa" w:w="1662"/>
          </w:tcPr>
          <w:p>
            <w:r>
              <w:t>500</w:t>
            </w:r>
          </w:p>
        </w:tc>
        <w:tc>
          <w:tcPr>
            <w:tcW w:type="dxa" w:w="1662"/>
          </w:tcPr>
          <w:p>
            <w:r>
              <w:t>$14,995.00</w:t>
            </w:r>
          </w:p>
        </w:tc>
        <w:tc>
          <w:tcPr>
            <w:tcW w:type="dxa" w:w="1662"/>
          </w:tcPr>
          <w:p>
            <w:r>
              <w:t>$5,248.25</w:t>
            </w:r>
          </w:p>
        </w:tc>
        <w:tc>
          <w:tcPr>
            <w:tcW w:type="dxa" w:w="1662"/>
          </w:tcPr>
          <w:p>
            <w:r>
              <w:t>$5,248.25 / $4,498.50</w:t>
            </w:r>
          </w:p>
        </w:tc>
      </w:tr>
    </w:tbl>
    <w:p>
      <w:pPr>
        <w:pStyle w:val="BodyText"/>
      </w:pPr>
    </w:p>
    <w:p>
      <w:pPr>
        <w:pStyle w:val="BodyText"/>
      </w:pPr>
      <w:r>
        <w:t>Ce prévisionnel valorise uniquement les ventes primaires. Les revenus du secondaire ne sont pas intégrés dans le chiffre de base, car ils seront probablement marginaux et servent surtout à laisser la possession et la liquidité des skins aux joueurs.</w:t>
      </w:r>
    </w:p>
    <w:p>
      <w:pPr>
        <w:pStyle w:val="SectionCustom"/>
      </w:pPr>
      <w:r>
        <w:t>19. Décisions business actées</w:t>
      </w:r>
    </w:p>
    <w:p>
      <w:pPr>
        <w:pStyle w:val="BodyText"/>
      </w:pPr>
      <w:r>
        <w:t>• Ventes primaires : split 35% créateurs / 35% planète / 30% Coinage.</w:t>
      </w:r>
    </w:p>
    <w:p>
      <w:pPr>
        <w:pStyle w:val="BodyText"/>
      </w:pPr>
      <w:r>
        <w:t>• Fee marketplace secondaire : 5% par transaction, redistribuée à 100% aux créateurs.</w:t>
      </w:r>
    </w:p>
    <w:p>
      <w:pPr>
        <w:pStyle w:val="BodyText"/>
      </w:pPr>
      <w:r>
        <w:t>• Structure des éditions : majorité de drops time-limited ; quelques éditions spéciales seulement en quantity-capped.</w:t>
      </w:r>
    </w:p>
    <w:p>
      <w:pPr>
        <w:pStyle w:val="BodyText"/>
      </w:pPr>
      <w:r>
        <w:t>• Liquidité et réédition : skins toujours librement revendables ; principe général de non-réédition avec exceptions rares et annoncées à l’avance.</w:t>
      </w:r>
    </w:p>
    <w:p>
      <w:pPr>
        <w:pStyle w:val="SectionCustom"/>
      </w:pPr>
      <w:r>
        <w:t>20. Prévisionnel illustratif - Saisons suivantes</w:t>
      </w:r>
    </w:p>
    <w:p>
      <w:pPr>
        <w:pStyle w:val="BodyText"/>
      </w:pPr>
      <w:r>
        <w:t>Les tableaux ci-dessous prolongent la logique de la Saison 1 avec une hypothèse d’augmentation significative des volumes vendus à mesure que le catalogue s’élargit et que plusieurs communautés token entrent dans la boucle cosmétique.</w:t>
      </w:r>
    </w:p>
    <w:p>
      <w:pPr>
        <w:pStyle w:val="BodyText"/>
      </w:pPr>
      <w:r>
        <w:t>Lecture des hypothèses de volume par pack et par saison : Saison 2 = 1 000 en scénario moyen, Saison 3 = 2 000, Saison 4 = 3 500 ; chaque saison conserve des scénarios Basse / Moyenne / Haute.</w:t>
      </w:r>
    </w:p>
    <w:p>
      <w:pPr>
        <w:pStyle w:val="SectionCustom"/>
      </w:pPr>
      <w:r>
        <w:t>Saison 2</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Scénario</w:t>
            </w:r>
          </w:p>
        </w:tc>
        <w:tc>
          <w:tcPr>
            <w:tcW w:type="dxa" w:w="1246"/>
          </w:tcPr>
          <w:p>
            <w:r>
              <w:t>Qté Sol</w:t>
            </w:r>
          </w:p>
        </w:tc>
        <w:tc>
          <w:tcPr>
            <w:tcW w:type="dxa" w:w="1246"/>
          </w:tcPr>
          <w:p>
            <w:r>
              <w:t>Qté Air</w:t>
            </w:r>
          </w:p>
        </w:tc>
        <w:tc>
          <w:tcPr>
            <w:tcW w:type="dxa" w:w="1246"/>
          </w:tcPr>
          <w:p>
            <w:r>
              <w:t>Qté Build</w:t>
            </w:r>
          </w:p>
        </w:tc>
        <w:tc>
          <w:tcPr>
            <w:tcW w:type="dxa" w:w="1246"/>
          </w:tcPr>
          <w:p>
            <w:r>
              <w:t>CA brut primaire</w:t>
            </w:r>
          </w:p>
        </w:tc>
        <w:tc>
          <w:tcPr>
            <w:tcW w:type="dxa" w:w="1246"/>
          </w:tcPr>
          <w:p>
            <w:r>
              <w:t>Créateurs 35%</w:t>
            </w:r>
          </w:p>
        </w:tc>
        <w:tc>
          <w:tcPr>
            <w:tcW w:type="dxa" w:w="1246"/>
          </w:tcPr>
          <w:p>
            <w:r>
              <w:t>Planètes 35%</w:t>
            </w:r>
          </w:p>
        </w:tc>
        <w:tc>
          <w:tcPr>
            <w:tcW w:type="dxa" w:w="1246"/>
          </w:tcPr>
          <w:p>
            <w:r>
              <w:t>Coinage 30%</w:t>
            </w:r>
          </w:p>
        </w:tc>
      </w:tr>
      <w:tr>
        <w:tc>
          <w:tcPr>
            <w:tcW w:type="dxa" w:w="1246"/>
          </w:tcPr>
          <w:p>
            <w:r>
              <w:t>Basse</w:t>
            </w:r>
          </w:p>
        </w:tc>
        <w:tc>
          <w:tcPr>
            <w:tcW w:type="dxa" w:w="1246"/>
          </w:tcPr>
          <w:p>
            <w:r>
              <w:t>500</w:t>
            </w:r>
          </w:p>
        </w:tc>
        <w:tc>
          <w:tcPr>
            <w:tcW w:type="dxa" w:w="1246"/>
          </w:tcPr>
          <w:p>
            <w:r>
              <w:t>500</w:t>
            </w:r>
          </w:p>
        </w:tc>
        <w:tc>
          <w:tcPr>
            <w:tcW w:type="dxa" w:w="1246"/>
          </w:tcPr>
          <w:p>
            <w:r>
              <w:t>500</w:t>
            </w:r>
          </w:p>
        </w:tc>
        <w:tc>
          <w:tcPr>
            <w:tcW w:type="dxa" w:w="1246"/>
          </w:tcPr>
          <w:p>
            <w:r>
              <w:t>$34,985.00</w:t>
            </w:r>
          </w:p>
        </w:tc>
        <w:tc>
          <w:tcPr>
            <w:tcW w:type="dxa" w:w="1246"/>
          </w:tcPr>
          <w:p>
            <w:r>
              <w:t>$12,244.75</w:t>
            </w:r>
          </w:p>
        </w:tc>
        <w:tc>
          <w:tcPr>
            <w:tcW w:type="dxa" w:w="1246"/>
          </w:tcPr>
          <w:p>
            <w:r>
              <w:t>$12,244.75</w:t>
            </w:r>
          </w:p>
        </w:tc>
        <w:tc>
          <w:tcPr>
            <w:tcW w:type="dxa" w:w="1246"/>
          </w:tcPr>
          <w:p>
            <w:r>
              <w:t>$10,495.50</w:t>
            </w:r>
          </w:p>
        </w:tc>
      </w:tr>
      <w:tr>
        <w:tc>
          <w:tcPr>
            <w:tcW w:type="dxa" w:w="1246"/>
          </w:tcPr>
          <w:p>
            <w:r>
              <w:t>Moyenne</w:t>
            </w:r>
          </w:p>
        </w:tc>
        <w:tc>
          <w:tcPr>
            <w:tcW w:type="dxa" w:w="1246"/>
          </w:tcPr>
          <w:p>
            <w:r>
              <w:t>1000</w:t>
            </w:r>
          </w:p>
        </w:tc>
        <w:tc>
          <w:tcPr>
            <w:tcW w:type="dxa" w:w="1246"/>
          </w:tcPr>
          <w:p>
            <w:r>
              <w:t>1000</w:t>
            </w:r>
          </w:p>
        </w:tc>
        <w:tc>
          <w:tcPr>
            <w:tcW w:type="dxa" w:w="1246"/>
          </w:tcPr>
          <w:p>
            <w:r>
              <w:t>1000</w:t>
            </w:r>
          </w:p>
        </w:tc>
        <w:tc>
          <w:tcPr>
            <w:tcW w:type="dxa" w:w="1246"/>
          </w:tcPr>
          <w:p>
            <w:r>
              <w:t>$69,970.00</w:t>
            </w:r>
          </w:p>
        </w:tc>
        <w:tc>
          <w:tcPr>
            <w:tcW w:type="dxa" w:w="1246"/>
          </w:tcPr>
          <w:p>
            <w:r>
              <w:t>$24,489.50</w:t>
            </w:r>
          </w:p>
        </w:tc>
        <w:tc>
          <w:tcPr>
            <w:tcW w:type="dxa" w:w="1246"/>
          </w:tcPr>
          <w:p>
            <w:r>
              <w:t>$24,489.50</w:t>
            </w:r>
          </w:p>
        </w:tc>
        <w:tc>
          <w:tcPr>
            <w:tcW w:type="dxa" w:w="1246"/>
          </w:tcPr>
          <w:p>
            <w:r>
              <w:t>$20,991.00</w:t>
            </w:r>
          </w:p>
        </w:tc>
      </w:tr>
      <w:tr>
        <w:tc>
          <w:tcPr>
            <w:tcW w:type="dxa" w:w="1246"/>
          </w:tcPr>
          <w:p>
            <w:r>
              <w:t>Haute</w:t>
            </w:r>
          </w:p>
        </w:tc>
        <w:tc>
          <w:tcPr>
            <w:tcW w:type="dxa" w:w="1246"/>
          </w:tcPr>
          <w:p>
            <w:r>
              <w:t>1500</w:t>
            </w:r>
          </w:p>
        </w:tc>
        <w:tc>
          <w:tcPr>
            <w:tcW w:type="dxa" w:w="1246"/>
          </w:tcPr>
          <w:p>
            <w:r>
              <w:t>1500</w:t>
            </w:r>
          </w:p>
        </w:tc>
        <w:tc>
          <w:tcPr>
            <w:tcW w:type="dxa" w:w="1246"/>
          </w:tcPr>
          <w:p>
            <w:r>
              <w:t>1500</w:t>
            </w:r>
          </w:p>
        </w:tc>
        <w:tc>
          <w:tcPr>
            <w:tcW w:type="dxa" w:w="1246"/>
          </w:tcPr>
          <w:p>
            <w:r>
              <w:t>$104,955.00</w:t>
            </w:r>
          </w:p>
        </w:tc>
        <w:tc>
          <w:tcPr>
            <w:tcW w:type="dxa" w:w="1246"/>
          </w:tcPr>
          <w:p>
            <w:r>
              <w:t>$36,734.25</w:t>
            </w:r>
          </w:p>
        </w:tc>
        <w:tc>
          <w:tcPr>
            <w:tcW w:type="dxa" w:w="1246"/>
          </w:tcPr>
          <w:p>
            <w:r>
              <w:t>$36,734.25</w:t>
            </w:r>
          </w:p>
        </w:tc>
        <w:tc>
          <w:tcPr>
            <w:tcW w:type="dxa" w:w="1246"/>
          </w:tcPr>
          <w:p>
            <w:r>
              <w:t>$31,486.50</w:t>
            </w:r>
          </w:p>
        </w:tc>
      </w:tr>
    </w:tbl>
    <w:p>
      <w:pPr>
        <w:pStyle w:val="BodyText"/>
      </w:pPr>
      <w:r>
        <w:t>Lecture directe du scénario moyen Saison 2 : 3 000 packs vendus au total (1 000 Sol + 1 000 Air + 1 000 Bâtiments) pour un CA brut primaire de $69,970.00.</w:t>
      </w:r>
    </w:p>
    <w:p>
      <w:pPr>
        <w:pStyle w:val="SectionCustom"/>
      </w:pPr>
      <w:r>
        <w:t>Saison 3</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Scénario</w:t>
            </w:r>
          </w:p>
        </w:tc>
        <w:tc>
          <w:tcPr>
            <w:tcW w:type="dxa" w:w="1246"/>
          </w:tcPr>
          <w:p>
            <w:r>
              <w:t>Qté Sol</w:t>
            </w:r>
          </w:p>
        </w:tc>
        <w:tc>
          <w:tcPr>
            <w:tcW w:type="dxa" w:w="1246"/>
          </w:tcPr>
          <w:p>
            <w:r>
              <w:t>Qté Air</w:t>
            </w:r>
          </w:p>
        </w:tc>
        <w:tc>
          <w:tcPr>
            <w:tcW w:type="dxa" w:w="1246"/>
          </w:tcPr>
          <w:p>
            <w:r>
              <w:t>Qté Build</w:t>
            </w:r>
          </w:p>
        </w:tc>
        <w:tc>
          <w:tcPr>
            <w:tcW w:type="dxa" w:w="1246"/>
          </w:tcPr>
          <w:p>
            <w:r>
              <w:t>CA brut primaire</w:t>
            </w:r>
          </w:p>
        </w:tc>
        <w:tc>
          <w:tcPr>
            <w:tcW w:type="dxa" w:w="1246"/>
          </w:tcPr>
          <w:p>
            <w:r>
              <w:t>Créateurs 35%</w:t>
            </w:r>
          </w:p>
        </w:tc>
        <w:tc>
          <w:tcPr>
            <w:tcW w:type="dxa" w:w="1246"/>
          </w:tcPr>
          <w:p>
            <w:r>
              <w:t>Planètes 35%</w:t>
            </w:r>
          </w:p>
        </w:tc>
        <w:tc>
          <w:tcPr>
            <w:tcW w:type="dxa" w:w="1246"/>
          </w:tcPr>
          <w:p>
            <w:r>
              <w:t>Coinage 30%</w:t>
            </w:r>
          </w:p>
        </w:tc>
      </w:tr>
      <w:tr>
        <w:tc>
          <w:tcPr>
            <w:tcW w:type="dxa" w:w="1246"/>
          </w:tcPr>
          <w:p>
            <w:r>
              <w:t>Basse</w:t>
            </w:r>
          </w:p>
        </w:tc>
        <w:tc>
          <w:tcPr>
            <w:tcW w:type="dxa" w:w="1246"/>
          </w:tcPr>
          <w:p>
            <w:r>
              <w:t>1000</w:t>
            </w:r>
          </w:p>
        </w:tc>
        <w:tc>
          <w:tcPr>
            <w:tcW w:type="dxa" w:w="1246"/>
          </w:tcPr>
          <w:p>
            <w:r>
              <w:t>1000</w:t>
            </w:r>
          </w:p>
        </w:tc>
        <w:tc>
          <w:tcPr>
            <w:tcW w:type="dxa" w:w="1246"/>
          </w:tcPr>
          <w:p>
            <w:r>
              <w:t>1000</w:t>
            </w:r>
          </w:p>
        </w:tc>
        <w:tc>
          <w:tcPr>
            <w:tcW w:type="dxa" w:w="1246"/>
          </w:tcPr>
          <w:p>
            <w:r>
              <w:t>$69,970.00</w:t>
            </w:r>
          </w:p>
        </w:tc>
        <w:tc>
          <w:tcPr>
            <w:tcW w:type="dxa" w:w="1246"/>
          </w:tcPr>
          <w:p>
            <w:r>
              <w:t>$24,489.50</w:t>
            </w:r>
          </w:p>
        </w:tc>
        <w:tc>
          <w:tcPr>
            <w:tcW w:type="dxa" w:w="1246"/>
          </w:tcPr>
          <w:p>
            <w:r>
              <w:t>$24,489.50</w:t>
            </w:r>
          </w:p>
        </w:tc>
        <w:tc>
          <w:tcPr>
            <w:tcW w:type="dxa" w:w="1246"/>
          </w:tcPr>
          <w:p>
            <w:r>
              <w:t>$20,991.00</w:t>
            </w:r>
          </w:p>
        </w:tc>
      </w:tr>
      <w:tr>
        <w:tc>
          <w:tcPr>
            <w:tcW w:type="dxa" w:w="1246"/>
          </w:tcPr>
          <w:p>
            <w:r>
              <w:t>Moyenne</w:t>
            </w:r>
          </w:p>
        </w:tc>
        <w:tc>
          <w:tcPr>
            <w:tcW w:type="dxa" w:w="1246"/>
          </w:tcPr>
          <w:p>
            <w:r>
              <w:t>2000</w:t>
            </w:r>
          </w:p>
        </w:tc>
        <w:tc>
          <w:tcPr>
            <w:tcW w:type="dxa" w:w="1246"/>
          </w:tcPr>
          <w:p>
            <w:r>
              <w:t>2000</w:t>
            </w:r>
          </w:p>
        </w:tc>
        <w:tc>
          <w:tcPr>
            <w:tcW w:type="dxa" w:w="1246"/>
          </w:tcPr>
          <w:p>
            <w:r>
              <w:t>2000</w:t>
            </w:r>
          </w:p>
        </w:tc>
        <w:tc>
          <w:tcPr>
            <w:tcW w:type="dxa" w:w="1246"/>
          </w:tcPr>
          <w:p>
            <w:r>
              <w:t>$139,940.00</w:t>
            </w:r>
          </w:p>
        </w:tc>
        <w:tc>
          <w:tcPr>
            <w:tcW w:type="dxa" w:w="1246"/>
          </w:tcPr>
          <w:p>
            <w:r>
              <w:t>$48,979.00</w:t>
            </w:r>
          </w:p>
        </w:tc>
        <w:tc>
          <w:tcPr>
            <w:tcW w:type="dxa" w:w="1246"/>
          </w:tcPr>
          <w:p>
            <w:r>
              <w:t>$48,979.00</w:t>
            </w:r>
          </w:p>
        </w:tc>
        <w:tc>
          <w:tcPr>
            <w:tcW w:type="dxa" w:w="1246"/>
          </w:tcPr>
          <w:p>
            <w:r>
              <w:t>$41,982.00</w:t>
            </w:r>
          </w:p>
        </w:tc>
      </w:tr>
      <w:tr>
        <w:tc>
          <w:tcPr>
            <w:tcW w:type="dxa" w:w="1246"/>
          </w:tcPr>
          <w:p>
            <w:r>
              <w:t>Haute</w:t>
            </w:r>
          </w:p>
        </w:tc>
        <w:tc>
          <w:tcPr>
            <w:tcW w:type="dxa" w:w="1246"/>
          </w:tcPr>
          <w:p>
            <w:r>
              <w:t>3000</w:t>
            </w:r>
          </w:p>
        </w:tc>
        <w:tc>
          <w:tcPr>
            <w:tcW w:type="dxa" w:w="1246"/>
          </w:tcPr>
          <w:p>
            <w:r>
              <w:t>3000</w:t>
            </w:r>
          </w:p>
        </w:tc>
        <w:tc>
          <w:tcPr>
            <w:tcW w:type="dxa" w:w="1246"/>
          </w:tcPr>
          <w:p>
            <w:r>
              <w:t>3000</w:t>
            </w:r>
          </w:p>
        </w:tc>
        <w:tc>
          <w:tcPr>
            <w:tcW w:type="dxa" w:w="1246"/>
          </w:tcPr>
          <w:p>
            <w:r>
              <w:t>$209,910.00</w:t>
            </w:r>
          </w:p>
        </w:tc>
        <w:tc>
          <w:tcPr>
            <w:tcW w:type="dxa" w:w="1246"/>
          </w:tcPr>
          <w:p>
            <w:r>
              <w:t>$73,468.50</w:t>
            </w:r>
          </w:p>
        </w:tc>
        <w:tc>
          <w:tcPr>
            <w:tcW w:type="dxa" w:w="1246"/>
          </w:tcPr>
          <w:p>
            <w:r>
              <w:t>$73,468.50</w:t>
            </w:r>
          </w:p>
        </w:tc>
        <w:tc>
          <w:tcPr>
            <w:tcW w:type="dxa" w:w="1246"/>
          </w:tcPr>
          <w:p>
            <w:r>
              <w:t>$62,973.00</w:t>
            </w:r>
          </w:p>
        </w:tc>
      </w:tr>
    </w:tbl>
    <w:p>
      <w:pPr>
        <w:pStyle w:val="BodyText"/>
      </w:pPr>
      <w:r>
        <w:t>Lecture directe du scénario moyen Saison 3 : 6 000 packs vendus au total (2 000 Sol + 2 000 Air + 2 000 Bâtiments) pour un CA brut primaire de $139,940.00.</w:t>
      </w:r>
    </w:p>
    <w:p>
      <w:pPr>
        <w:pStyle w:val="SectionCustom"/>
      </w:pPr>
      <w:r>
        <w:t>Saison 4</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Scénario</w:t>
            </w:r>
          </w:p>
        </w:tc>
        <w:tc>
          <w:tcPr>
            <w:tcW w:type="dxa" w:w="1246"/>
          </w:tcPr>
          <w:p>
            <w:r>
              <w:t>Qté Sol</w:t>
            </w:r>
          </w:p>
        </w:tc>
        <w:tc>
          <w:tcPr>
            <w:tcW w:type="dxa" w:w="1246"/>
          </w:tcPr>
          <w:p>
            <w:r>
              <w:t>Qté Air</w:t>
            </w:r>
          </w:p>
        </w:tc>
        <w:tc>
          <w:tcPr>
            <w:tcW w:type="dxa" w:w="1246"/>
          </w:tcPr>
          <w:p>
            <w:r>
              <w:t>Qté Build</w:t>
            </w:r>
          </w:p>
        </w:tc>
        <w:tc>
          <w:tcPr>
            <w:tcW w:type="dxa" w:w="1246"/>
          </w:tcPr>
          <w:p>
            <w:r>
              <w:t>CA brut primaire</w:t>
            </w:r>
          </w:p>
        </w:tc>
        <w:tc>
          <w:tcPr>
            <w:tcW w:type="dxa" w:w="1246"/>
          </w:tcPr>
          <w:p>
            <w:r>
              <w:t>Créateurs 35%</w:t>
            </w:r>
          </w:p>
        </w:tc>
        <w:tc>
          <w:tcPr>
            <w:tcW w:type="dxa" w:w="1246"/>
          </w:tcPr>
          <w:p>
            <w:r>
              <w:t>Planètes 35%</w:t>
            </w:r>
          </w:p>
        </w:tc>
        <w:tc>
          <w:tcPr>
            <w:tcW w:type="dxa" w:w="1246"/>
          </w:tcPr>
          <w:p>
            <w:r>
              <w:t>Coinage 30%</w:t>
            </w:r>
          </w:p>
        </w:tc>
      </w:tr>
      <w:tr>
        <w:tc>
          <w:tcPr>
            <w:tcW w:type="dxa" w:w="1246"/>
          </w:tcPr>
          <w:p>
            <w:r>
              <w:t>Basse</w:t>
            </w:r>
          </w:p>
        </w:tc>
        <w:tc>
          <w:tcPr>
            <w:tcW w:type="dxa" w:w="1246"/>
          </w:tcPr>
          <w:p>
            <w:r>
              <w:t>1750</w:t>
            </w:r>
          </w:p>
        </w:tc>
        <w:tc>
          <w:tcPr>
            <w:tcW w:type="dxa" w:w="1246"/>
          </w:tcPr>
          <w:p>
            <w:r>
              <w:t>1750</w:t>
            </w:r>
          </w:p>
        </w:tc>
        <w:tc>
          <w:tcPr>
            <w:tcW w:type="dxa" w:w="1246"/>
          </w:tcPr>
          <w:p>
            <w:r>
              <w:t>1750</w:t>
            </w:r>
          </w:p>
        </w:tc>
        <w:tc>
          <w:tcPr>
            <w:tcW w:type="dxa" w:w="1246"/>
          </w:tcPr>
          <w:p>
            <w:r>
              <w:t>$122,447.50</w:t>
            </w:r>
          </w:p>
        </w:tc>
        <w:tc>
          <w:tcPr>
            <w:tcW w:type="dxa" w:w="1246"/>
          </w:tcPr>
          <w:p>
            <w:r>
              <w:t>$42,856.62</w:t>
            </w:r>
          </w:p>
        </w:tc>
        <w:tc>
          <w:tcPr>
            <w:tcW w:type="dxa" w:w="1246"/>
          </w:tcPr>
          <w:p>
            <w:r>
              <w:t>$42,856.62</w:t>
            </w:r>
          </w:p>
        </w:tc>
        <w:tc>
          <w:tcPr>
            <w:tcW w:type="dxa" w:w="1246"/>
          </w:tcPr>
          <w:p>
            <w:r>
              <w:t>$36,734.25</w:t>
            </w:r>
          </w:p>
        </w:tc>
      </w:tr>
      <w:tr>
        <w:tc>
          <w:tcPr>
            <w:tcW w:type="dxa" w:w="1246"/>
          </w:tcPr>
          <w:p>
            <w:r>
              <w:t>Moyenne</w:t>
            </w:r>
          </w:p>
        </w:tc>
        <w:tc>
          <w:tcPr>
            <w:tcW w:type="dxa" w:w="1246"/>
          </w:tcPr>
          <w:p>
            <w:r>
              <w:t>3500</w:t>
            </w:r>
          </w:p>
        </w:tc>
        <w:tc>
          <w:tcPr>
            <w:tcW w:type="dxa" w:w="1246"/>
          </w:tcPr>
          <w:p>
            <w:r>
              <w:t>3500</w:t>
            </w:r>
          </w:p>
        </w:tc>
        <w:tc>
          <w:tcPr>
            <w:tcW w:type="dxa" w:w="1246"/>
          </w:tcPr>
          <w:p>
            <w:r>
              <w:t>3500</w:t>
            </w:r>
          </w:p>
        </w:tc>
        <w:tc>
          <w:tcPr>
            <w:tcW w:type="dxa" w:w="1246"/>
          </w:tcPr>
          <w:p>
            <w:r>
              <w:t>$244,895.00</w:t>
            </w:r>
          </w:p>
        </w:tc>
        <w:tc>
          <w:tcPr>
            <w:tcW w:type="dxa" w:w="1246"/>
          </w:tcPr>
          <w:p>
            <w:r>
              <w:t>$85,713.25</w:t>
            </w:r>
          </w:p>
        </w:tc>
        <w:tc>
          <w:tcPr>
            <w:tcW w:type="dxa" w:w="1246"/>
          </w:tcPr>
          <w:p>
            <w:r>
              <w:t>$85,713.25</w:t>
            </w:r>
          </w:p>
        </w:tc>
        <w:tc>
          <w:tcPr>
            <w:tcW w:type="dxa" w:w="1246"/>
          </w:tcPr>
          <w:p>
            <w:r>
              <w:t>$73,468.50</w:t>
            </w:r>
          </w:p>
        </w:tc>
      </w:tr>
      <w:tr>
        <w:tc>
          <w:tcPr>
            <w:tcW w:type="dxa" w:w="1246"/>
          </w:tcPr>
          <w:p>
            <w:r>
              <w:t>Haute</w:t>
            </w:r>
          </w:p>
        </w:tc>
        <w:tc>
          <w:tcPr>
            <w:tcW w:type="dxa" w:w="1246"/>
          </w:tcPr>
          <w:p>
            <w:r>
              <w:t>5250</w:t>
            </w:r>
          </w:p>
        </w:tc>
        <w:tc>
          <w:tcPr>
            <w:tcW w:type="dxa" w:w="1246"/>
          </w:tcPr>
          <w:p>
            <w:r>
              <w:t>5250</w:t>
            </w:r>
          </w:p>
        </w:tc>
        <w:tc>
          <w:tcPr>
            <w:tcW w:type="dxa" w:w="1246"/>
          </w:tcPr>
          <w:p>
            <w:r>
              <w:t>5250</w:t>
            </w:r>
          </w:p>
        </w:tc>
        <w:tc>
          <w:tcPr>
            <w:tcW w:type="dxa" w:w="1246"/>
          </w:tcPr>
          <w:p>
            <w:r>
              <w:t>$367,342.50</w:t>
            </w:r>
          </w:p>
        </w:tc>
        <w:tc>
          <w:tcPr>
            <w:tcW w:type="dxa" w:w="1246"/>
          </w:tcPr>
          <w:p>
            <w:r>
              <w:t>$128,569.87</w:t>
            </w:r>
          </w:p>
        </w:tc>
        <w:tc>
          <w:tcPr>
            <w:tcW w:type="dxa" w:w="1246"/>
          </w:tcPr>
          <w:p>
            <w:r>
              <w:t>$128,569.87</w:t>
            </w:r>
          </w:p>
        </w:tc>
        <w:tc>
          <w:tcPr>
            <w:tcW w:type="dxa" w:w="1246"/>
          </w:tcPr>
          <w:p>
            <w:r>
              <w:t>$110,202.75</w:t>
            </w:r>
          </w:p>
        </w:tc>
      </w:tr>
    </w:tbl>
    <w:p>
      <w:pPr>
        <w:pStyle w:val="BodyText"/>
      </w:pPr>
      <w:r>
        <w:t>Lecture directe du scénario moyen Saison 4 : 10 500 packs vendus au total (3 500 Sol + 3 500 Air + 3 500 Bâtiments) pour un CA brut primaire de $244,895.00.</w:t>
      </w:r>
    </w:p>
    <w:p>
      <w:pPr>
        <w:pStyle w:val="SectionCustom"/>
      </w:pPr>
      <w:r>
        <w:t>21. Secondaire NFT - rôle et principe</w:t>
      </w:r>
    </w:p>
    <w:p>
      <w:pPr>
        <w:pStyle w:val="BodyText"/>
      </w:pPr>
      <w:r>
        <w:t>Le marché secondaire existe surtout pour garantir la propriété réelle des skins et laisser les joueurs revendre leurs NFTs unitaires. La fee marketplace est fixée à 5% par transaction et redistribuée à 100% aux créateurs. Cet upside reste volontairement traité comme marginal dans le business plan ; le primaire reste le moteur principal du revenu.</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t>Secondaire NFT</w:t>
            </w:r>
          </w:p>
        </w:tc>
        <w:tc>
          <w:tcPr>
            <w:tcW w:type="dxa" w:w="1662"/>
          </w:tcPr>
          <w:p>
            <w:r>
              <w:t>Principe</w:t>
            </w:r>
          </w:p>
        </w:tc>
        <w:tc>
          <w:tcPr>
            <w:tcW w:type="dxa" w:w="1662"/>
          </w:tcPr>
          <w:p>
            <w:r>
              <w:t>Fee</w:t>
            </w:r>
          </w:p>
        </w:tc>
        <w:tc>
          <w:tcPr>
            <w:tcW w:type="dxa" w:w="1662"/>
          </w:tcPr>
          <w:p>
            <w:r>
              <w:t>Redistribution</w:t>
            </w:r>
          </w:p>
        </w:tc>
        <w:tc>
          <w:tcPr>
            <w:tcW w:type="dxa" w:w="1662"/>
          </w:tcPr>
          <w:p>
            <w:r>
              <w:t>Rôle business</w:t>
            </w:r>
          </w:p>
        </w:tc>
        <w:tc>
          <w:tcPr>
            <w:tcW w:type="dxa" w:w="1662"/>
          </w:tcPr>
          <w:p>
            <w:r>
              <w:t>Lecture</w:t>
            </w:r>
          </w:p>
        </w:tc>
      </w:tr>
      <w:tr>
        <w:tc>
          <w:tcPr>
            <w:tcW w:type="dxa" w:w="1662"/>
          </w:tcPr>
          <w:p>
            <w:r>
              <w:t>Revente de skins unitaires</w:t>
            </w:r>
          </w:p>
        </w:tc>
        <w:tc>
          <w:tcPr>
            <w:tcW w:type="dxa" w:w="1662"/>
          </w:tcPr>
          <w:p>
            <w:r>
              <w:t>Chaque skin du pack est un NFT individuel librement revendable</w:t>
            </w:r>
          </w:p>
        </w:tc>
        <w:tc>
          <w:tcPr>
            <w:tcW w:type="dxa" w:w="1662"/>
          </w:tcPr>
          <w:p>
            <w:r>
              <w:t>5%</w:t>
            </w:r>
          </w:p>
        </w:tc>
        <w:tc>
          <w:tcPr>
            <w:tcW w:type="dxa" w:w="1662"/>
          </w:tcPr>
          <w:p>
            <w:r>
              <w:t>100% créateurs</w:t>
            </w:r>
          </w:p>
        </w:tc>
        <w:tc>
          <w:tcPr>
            <w:tcW w:type="dxa" w:w="1662"/>
          </w:tcPr>
          <w:p>
            <w:r>
              <w:t>Upside marginal</w:t>
            </w:r>
          </w:p>
        </w:tc>
        <w:tc>
          <w:tcPr>
            <w:tcW w:type="dxa" w:w="1662"/>
          </w:tcPr>
          <w:p>
            <w:r>
              <w:t>Le secondaire existe surtout pour la propriété et la liquidité des skins, pas comme moteur principal du revenu</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before="0" w:after="160"/>
    </w:pPr>
    <w:rPr>
      <w:rFonts w:ascii="Aptos" w:hAnsi="Aptos"/>
      <w:b/>
      <w:color w:val="172B4D"/>
      <w:sz w:val="48"/>
    </w:rPr>
  </w:style>
  <w:style w:type="paragraph" w:customStyle="1" w:styleId="SubtitleCustom">
    <w:name w:val="SubtitleCustom"/>
    <w:pPr>
      <w:spacing w:before="0" w:after="280"/>
    </w:pPr>
    <w:rPr>
      <w:rFonts w:ascii="Aptos" w:hAnsi="Aptos"/>
      <w:b w:val="0"/>
      <w:color w:val="5A6270"/>
      <w:sz w:val="23"/>
    </w:rPr>
  </w:style>
  <w:style w:type="paragraph" w:customStyle="1" w:styleId="SectionCustom">
    <w:name w:val="SectionCustom"/>
    <w:pPr>
      <w:spacing w:before="280" w:after="120"/>
    </w:pPr>
    <w:rPr>
      <w:rFonts w:ascii="Aptos" w:hAnsi="Aptos"/>
      <w:b/>
      <w:color w:val="172B4D"/>
      <w:sz w:val="32"/>
    </w:rPr>
  </w:style>
  <w:style w:type="paragraph" w:customStyle="1" w:styleId="SubsectionCustom">
    <w:name w:val="SubsectionCustom"/>
    <w:pPr>
      <w:spacing w:before="160" w:after="80"/>
    </w:pPr>
    <w:rPr>
      <w:rFonts w:ascii="Aptos" w:hAnsi="Aptos"/>
      <w:b/>
      <w:color w:val="2A56A6"/>
      <w:sz w:val="24"/>
    </w:rPr>
  </w:style>
  <w:style w:type="paragraph" w:customStyle="1" w:styleId="SmallCaps">
    <w:name w:val="SmallCaps"/>
    <w:pPr>
      <w:spacing w:before="0" w:after="80"/>
    </w:pPr>
    <w:rPr>
      <w:rFonts w:ascii="Aptos" w:hAnsi="Aptos"/>
      <w:b/>
      <w:color w:val="007C89"/>
      <w:sz w:val="19"/>
    </w:rPr>
  </w:style>
  <w:style w:type="paragraph" w:customStyle="1" w:styleId="BodySmall">
    <w:name w:val="BodySmall"/>
    <w:pPr>
      <w:spacing w:before="0" w:after="80"/>
    </w:pPr>
    <w:rPr>
      <w:rFonts w:ascii="Aptos" w:hAnsi="Aptos"/>
      <w:b w:val="0"/>
      <w:color w:val="5A62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