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EA6" w:rsidRDefault="00D754AA" w:rsidP="00D754AA">
      <w:pPr>
        <w:suppressAutoHyphens/>
        <w:spacing w:line="276" w:lineRule="auto"/>
        <w:jc w:val="center"/>
      </w:pPr>
      <w:bookmarkStart w:id="0" w:name="_GoBack"/>
      <w:bookmarkEnd w:id="0"/>
      <w:r>
        <w:t>Министерство науки и высшего образования Российской Федерации</w:t>
      </w:r>
    </w:p>
    <w:p w:rsidR="00190EA6" w:rsidRDefault="00D754AA" w:rsidP="00D754AA">
      <w:pPr>
        <w:suppressAutoHyphens/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190EA6" w:rsidRDefault="00D754AA" w:rsidP="00D754AA">
      <w:pPr>
        <w:suppressAutoHyphens/>
        <w:spacing w:line="276" w:lineRule="auto"/>
        <w:jc w:val="center"/>
      </w:pPr>
      <w:r>
        <w:rPr>
          <w:b/>
          <w:bCs/>
        </w:rPr>
        <w:t>«Российский государственный университет им. А. Н. Косыгина</w:t>
      </w:r>
    </w:p>
    <w:p w:rsidR="00190EA6" w:rsidRDefault="00D754AA" w:rsidP="00D754AA">
      <w:pPr>
        <w:suppressAutoHyphens/>
        <w:spacing w:line="276" w:lineRule="auto"/>
        <w:jc w:val="center"/>
      </w:pPr>
      <w:r>
        <w:rPr>
          <w:b/>
          <w:bCs/>
        </w:rPr>
        <w:t>(Технологии. Дизайн. Искусство)»</w:t>
      </w:r>
    </w:p>
    <w:p w:rsidR="00190EA6" w:rsidRDefault="00D754AA" w:rsidP="00D754AA">
      <w:pPr>
        <w:suppressAutoHyphens/>
        <w:spacing w:before="120" w:line="276" w:lineRule="auto"/>
        <w:jc w:val="center"/>
      </w:pPr>
      <w:r>
        <w:t>Институт информационных технологий и цифровой трансформации</w:t>
      </w:r>
    </w:p>
    <w:p w:rsidR="00190EA6" w:rsidRDefault="00D754AA" w:rsidP="00D754AA">
      <w:pPr>
        <w:suppressAutoHyphens/>
        <w:spacing w:line="276" w:lineRule="auto"/>
        <w:jc w:val="center"/>
      </w:pPr>
      <w:r>
        <w:t>Кафедра информационных технологий</w:t>
      </w:r>
    </w:p>
    <w:p w:rsidR="00190EA6" w:rsidRDefault="00D754AA" w:rsidP="00D754AA">
      <w:pPr>
        <w:suppressAutoHyphens/>
        <w:spacing w:before="1500"/>
        <w:jc w:val="center"/>
      </w:pPr>
      <w:r>
        <w:rPr>
          <w:b/>
          <w:bCs/>
          <w:sz w:val="32"/>
          <w:szCs w:val="32"/>
        </w:rPr>
        <w:t>ОТЧЁТ</w:t>
      </w:r>
    </w:p>
    <w:p w:rsidR="00190EA6" w:rsidRDefault="00D754AA" w:rsidP="00D754AA">
      <w:pPr>
        <w:suppressAutoHyphens/>
        <w:jc w:val="center"/>
      </w:pPr>
      <w:r>
        <w:t>по лабораторной работе № 1</w:t>
      </w:r>
    </w:p>
    <w:p w:rsidR="00190EA6" w:rsidRDefault="00D754AA" w:rsidP="00D754AA">
      <w:pPr>
        <w:suppressAutoHyphens/>
        <w:jc w:val="center"/>
      </w:pPr>
      <w:r>
        <w:rPr>
          <w:b/>
          <w:bCs/>
        </w:rPr>
        <w:t>«Использование основных графических нотаций моделирования для описания информационного/программного продукта»</w:t>
      </w:r>
    </w:p>
    <w:p w:rsidR="00190EA6" w:rsidRDefault="00D754AA" w:rsidP="00D754AA">
      <w:pPr>
        <w:suppressAutoHyphens/>
        <w:spacing w:before="120"/>
        <w:jc w:val="center"/>
      </w:pPr>
      <w:r>
        <w:t>по дисциплине «Осно</w:t>
      </w:r>
      <w:r>
        <w:t>вы автоматизированного проектирования»</w:t>
      </w:r>
    </w:p>
    <w:p w:rsidR="00190EA6" w:rsidRDefault="00D754AA" w:rsidP="00D754AA">
      <w:pPr>
        <w:suppressAutoHyphens/>
        <w:spacing w:before="120"/>
        <w:jc w:val="center"/>
      </w:pPr>
      <w:r>
        <w:rPr>
          <w:i/>
          <w:iCs/>
        </w:rPr>
        <w:t>Программный продукт: «TransLark — интеллектуальный сервис для перевода и изучения иностранных языков»</w:t>
      </w:r>
    </w:p>
    <w:p w:rsidR="00190EA6" w:rsidRDefault="00D754AA" w:rsidP="00D754AA">
      <w:pPr>
        <w:suppressAutoHyphens/>
        <w:spacing w:before="1100"/>
        <w:ind w:left="4536"/>
      </w:pPr>
      <w:r>
        <w:t>Выполнил: студент группы ИТС-123</w:t>
      </w:r>
    </w:p>
    <w:p w:rsidR="00190EA6" w:rsidRDefault="00D754AA" w:rsidP="00D754AA">
      <w:pPr>
        <w:suppressAutoHyphens/>
        <w:spacing w:after="200"/>
        <w:ind w:left="4536"/>
      </w:pPr>
      <w:r>
        <w:t>_______________ (подпись)</w:t>
      </w:r>
    </w:p>
    <w:p w:rsidR="00190EA6" w:rsidRDefault="00D754AA" w:rsidP="00D754AA">
      <w:pPr>
        <w:suppressAutoHyphens/>
        <w:ind w:left="4536"/>
      </w:pPr>
      <w:r>
        <w:t>Проверил: преподаватель</w:t>
      </w:r>
    </w:p>
    <w:p w:rsidR="00190EA6" w:rsidRDefault="00D754AA" w:rsidP="00D754AA">
      <w:pPr>
        <w:suppressAutoHyphens/>
        <w:ind w:left="4536"/>
      </w:pPr>
      <w:r>
        <w:t>_______________ (подпись)</w:t>
      </w:r>
    </w:p>
    <w:p w:rsidR="00190EA6" w:rsidRDefault="00D754AA" w:rsidP="00D754AA">
      <w:pPr>
        <w:suppressAutoHyphens/>
        <w:spacing w:before="900"/>
        <w:jc w:val="center"/>
        <w:sectPr w:rsidR="00190EA6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  <w:r>
        <w:t>Москва 2026</w:t>
      </w:r>
    </w:p>
    <w:p w:rsidR="00190EA6" w:rsidRDefault="00D754AA">
      <w:pPr>
        <w:pStyle w:val="1"/>
        <w:spacing w:before="360"/>
      </w:pPr>
      <w:r>
        <w:lastRenderedPageBreak/>
        <w:t>1 Цель и задание</w:t>
      </w:r>
    </w:p>
    <w:p w:rsidR="00190EA6" w:rsidRDefault="00D754AA">
      <w:pPr>
        <w:ind w:firstLine="709"/>
        <w:jc w:val="both"/>
      </w:pPr>
      <w:r>
        <w:t xml:space="preserve">Цель работы — с помощью графических нотаций IDEF0, BPMN и UML описать программный продукт, разрабатываемый в качестве выпускной квалификационной работы: интеллектуальный сервис для перевода и изучения иностранных </w:t>
      </w:r>
      <w:r>
        <w:t>языков «TransLark».</w:t>
      </w:r>
    </w:p>
    <w:p w:rsidR="00190EA6" w:rsidRDefault="00D754AA">
      <w:pPr>
        <w:ind w:firstLine="709"/>
        <w:jc w:val="both"/>
      </w:pPr>
      <w:r>
        <w:t>В соответствии с заданием использованы нотации: IDEF0 (контекстная диаграмма и диаграмма декомпозиции), BPMN с дорожками, UML-диаграммы вариантов использования, компонентов, классов и развёртывания. Описание построено по семи пунктам за</w:t>
      </w:r>
      <w:r>
        <w:t>дания (разделы 2–8).</w:t>
      </w:r>
    </w:p>
    <w:p w:rsidR="00190EA6" w:rsidRDefault="00D754AA">
      <w:pPr>
        <w:pStyle w:val="1"/>
        <w:spacing w:before="360"/>
      </w:pPr>
      <w:r>
        <w:t>2 Название, тип и назначение продукта</w:t>
      </w:r>
    </w:p>
    <w:p w:rsidR="00190EA6" w:rsidRDefault="00D754AA">
      <w:pPr>
        <w:ind w:firstLine="709"/>
        <w:jc w:val="both"/>
      </w:pPr>
      <w:r>
        <w:rPr>
          <w:b/>
          <w:bCs/>
        </w:rPr>
        <w:t xml:space="preserve">Название: </w:t>
      </w:r>
      <w:r>
        <w:t>TransLark (translark.ru, translark.com).</w:t>
      </w:r>
    </w:p>
    <w:p w:rsidR="00190EA6" w:rsidRDefault="00D754AA">
      <w:pPr>
        <w:ind w:firstLine="709"/>
        <w:jc w:val="both"/>
      </w:pPr>
      <w:r>
        <w:rPr>
          <w:b/>
          <w:bCs/>
        </w:rPr>
        <w:t xml:space="preserve">Тип: </w:t>
      </w:r>
      <w:r>
        <w:t>веб-сервис с серверным рендерингом (SSR) и мобильным приложением для iOS; клиент-серверная информационная система с интеллектуальными подсистемами на основе больших языковых моделей (LLM) и локальных нейросетевых моделей.</w:t>
      </w:r>
    </w:p>
    <w:p w:rsidR="00190EA6" w:rsidRDefault="00D754AA">
      <w:pPr>
        <w:ind w:firstLine="709"/>
        <w:jc w:val="both"/>
      </w:pPr>
      <w:r>
        <w:rPr>
          <w:b/>
          <w:bCs/>
        </w:rPr>
        <w:t xml:space="preserve">Назначение: </w:t>
      </w:r>
      <w:r>
        <w:t>перевод текста, речи и</w:t>
      </w:r>
      <w:r>
        <w:t xml:space="preserve"> изображений между 247 языками с пояснением идиом и культурных реалий, а также запоминание новой лексики: переведённое слово превращается в учебную карточку, повторения которой планируются методом интервальных повторений (алгоритм FSRS).</w:t>
      </w:r>
    </w:p>
    <w:p w:rsidR="00190EA6" w:rsidRDefault="00D754AA">
      <w:pPr>
        <w:ind w:firstLine="709"/>
        <w:jc w:val="both"/>
      </w:pPr>
      <w:r>
        <w:t>Функциональная мод</w:t>
      </w:r>
      <w:r>
        <w:t>ель верхнего уровня (контекстная диаграмма A-0) показана на рисунке 2.1. Входами функции являются исходный текст, речь, изображение и оценка ответа пользователя на карточку; выходами — перевод с пояснениями, озвучка, учебные карточки и график повторений. У</w:t>
      </w:r>
      <w:r>
        <w:t>правление задают реестр языков и моделей, правила интервального повторения и политики доступа; механизмами выступают пользователь, языковые модели, локальные нейросети и серверная инфраструктура.</w:t>
      </w:r>
    </w:p>
    <w:p w:rsidR="00190EA6" w:rsidRDefault="00D754AA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943600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EA6" w:rsidRDefault="00D754AA">
      <w:pPr>
        <w:spacing w:after="200"/>
        <w:jc w:val="center"/>
      </w:pPr>
      <w:r>
        <w:t>Рисунок 2.1 – Контекстная диаграмма IDEF0 (A-0)</w:t>
      </w:r>
    </w:p>
    <w:p w:rsidR="00190EA6" w:rsidRDefault="00D754AA">
      <w:pPr>
        <w:pStyle w:val="1"/>
        <w:spacing w:before="360"/>
      </w:pPr>
      <w:r>
        <w:t>3 Основные</w:t>
      </w:r>
      <w:r>
        <w:t xml:space="preserve"> функциональные возможности</w:t>
      </w:r>
    </w:p>
    <w:p w:rsidR="00190EA6" w:rsidRDefault="00D754AA">
      <w:pPr>
        <w:ind w:firstLine="709"/>
        <w:jc w:val="both"/>
      </w:pPr>
      <w:r>
        <w:t xml:space="preserve">Декомпозиция функции A0 на шесть подфункций приведена на рисунке 3.1: приём ввода и распознавание (A1), определение языка и маршрута перевода (A2), выполнение перевода (A3), обогащение перевода пояснениями, примерами и озвучкой </w:t>
      </w:r>
      <w:r>
        <w:t>(A4), формирование учебной карточки (A5), планирование и проведение повторений (A6).</w:t>
      </w:r>
    </w:p>
    <w:p w:rsidR="00190EA6" w:rsidRDefault="00D754AA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943600" cy="3371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EA6" w:rsidRDefault="00D754AA">
      <w:pPr>
        <w:spacing w:after="200"/>
        <w:jc w:val="center"/>
      </w:pPr>
      <w:r>
        <w:t>Рисунок 3.1 – Диаграмма декомпозиции IDEF0 (A0)</w:t>
      </w:r>
    </w:p>
    <w:p w:rsidR="00190EA6" w:rsidRDefault="00D754AA">
      <w:pPr>
        <w:ind w:firstLine="709"/>
        <w:jc w:val="both"/>
      </w:pPr>
      <w:r>
        <w:t>Перечень функций продукта:</w:t>
      </w:r>
    </w:p>
    <w:p w:rsidR="00190EA6" w:rsidRDefault="00D754AA">
      <w:pPr>
        <w:ind w:firstLine="709"/>
        <w:jc w:val="both"/>
      </w:pPr>
      <w:r>
        <w:t>– перевод текста с автоопределением языка и выбором тона (нейтральный, формальный, разговорный</w:t>
      </w:r>
      <w:r>
        <w:t>);</w:t>
      </w:r>
    </w:p>
    <w:p w:rsidR="00190EA6" w:rsidRDefault="00D754AA">
      <w:pPr>
        <w:ind w:firstLine="709"/>
        <w:jc w:val="both"/>
      </w:pPr>
      <w:r>
        <w:t>– перевод через язык-посредник, если прямую пару модель переводит хуже (маршрутизация по графу качества);</w:t>
      </w:r>
    </w:p>
    <w:p w:rsidR="00190EA6" w:rsidRDefault="00D754AA">
      <w:pPr>
        <w:ind w:firstLine="709"/>
        <w:jc w:val="both"/>
      </w:pPr>
      <w:r>
        <w:t>– пояснения к идиомам, каламбурам и культурным реалиям, примеры употребления, подсветка соответствий между исходным текстом и переводом;</w:t>
      </w:r>
    </w:p>
    <w:p w:rsidR="00190EA6" w:rsidRDefault="00D754AA">
      <w:pPr>
        <w:ind w:firstLine="709"/>
        <w:jc w:val="both"/>
      </w:pPr>
      <w:r>
        <w:t>– проверка орфографии и грамматики исходного текста, подсказка следующего слова, транслитерация;</w:t>
      </w:r>
    </w:p>
    <w:p w:rsidR="00190EA6" w:rsidRDefault="00D754AA">
      <w:pPr>
        <w:ind w:firstLine="709"/>
        <w:jc w:val="both"/>
      </w:pPr>
      <w:r>
        <w:t>– голосовой ввод (распознавание речи), перевод текста на фотографии (OCR), озвучка перевода (синтез речи);</w:t>
      </w:r>
    </w:p>
    <w:p w:rsidR="00190EA6" w:rsidRDefault="00D754AA">
      <w:pPr>
        <w:ind w:firstLine="709"/>
        <w:jc w:val="both"/>
      </w:pPr>
      <w:r>
        <w:t>– история переводов, избранное, разговорник и карточ</w:t>
      </w:r>
      <w:r>
        <w:t>ки слов;</w:t>
      </w:r>
    </w:p>
    <w:p w:rsidR="00190EA6" w:rsidRDefault="00D754AA">
      <w:pPr>
        <w:ind w:firstLine="709"/>
        <w:jc w:val="both"/>
      </w:pPr>
      <w:r>
        <w:t>– модуль обучения: колоды карточек, сессии повторения с оценкой «снова / трудно / хорошо / легко», планирование по FSRS, импорт колод Anki (.apkg), готовая колода Oxford 3000 (B2).</w:t>
      </w:r>
    </w:p>
    <w:p w:rsidR="00190EA6" w:rsidRDefault="00D754AA">
      <w:pPr>
        <w:ind w:firstLine="709"/>
        <w:jc w:val="both"/>
      </w:pPr>
      <w:r>
        <w:t>Бизнес-процесс «перевод и сохранение слова» с распределением дейст</w:t>
      </w:r>
      <w:r>
        <w:t>вий по участникам показан на рисунке 3.2 в нотации BPMN.</w:t>
      </w:r>
    </w:p>
    <w:p w:rsidR="00190EA6" w:rsidRDefault="00D754AA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943600" cy="2733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EA6" w:rsidRDefault="00D754AA">
      <w:pPr>
        <w:spacing w:after="200"/>
        <w:jc w:val="center"/>
      </w:pPr>
      <w:r>
        <w:t>Рисунок 3.2 – Процесс перевода и сохранения слова (BPMN с дорожками)</w:t>
      </w:r>
    </w:p>
    <w:p w:rsidR="00190EA6" w:rsidRDefault="00D754AA">
      <w:pPr>
        <w:pStyle w:val="1"/>
        <w:spacing w:before="360"/>
      </w:pPr>
      <w:r>
        <w:t>4 Целевые группы пользователей</w:t>
      </w:r>
    </w:p>
    <w:p w:rsidR="00190EA6" w:rsidRDefault="00D754AA">
      <w:pPr>
        <w:keepNext/>
        <w:spacing w:before="120" w:after="60"/>
      </w:pPr>
      <w:r>
        <w:t>Таблица 4.1 – Целевые группы пользователей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3686"/>
        <w:gridCol w:w="3402"/>
      </w:tblGrid>
      <w:tr w:rsidR="00190EA6">
        <w:trPr>
          <w:cantSplit/>
          <w:tblHeader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Используемые функции</w:t>
            </w:r>
          </w:p>
        </w:tc>
      </w:tr>
      <w:tr w:rsidR="00190EA6">
        <w:trPr>
          <w:cantSplit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Гость (без регистрации)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быстро перевести текст, фразу, надпись на фото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перевод, автоопределение языка, озвучка, OCR, ASR</w:t>
            </w:r>
          </w:p>
        </w:tc>
      </w:tr>
      <w:tr w:rsidR="00190EA6">
        <w:trPr>
          <w:cantSplit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Учащийся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понять и запомнить новую лексику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пояснения, примеры, карточки, повторения FSRS, импорт колод</w:t>
            </w:r>
          </w:p>
        </w:tc>
      </w:tr>
      <w:tr w:rsidR="00190EA6">
        <w:trPr>
          <w:cantSplit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Путешественник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общаться и читать вывески в другой стране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разговорник, фото-перевод, голосовой ввод, мобильное приложение</w:t>
            </w:r>
          </w:p>
        </w:tc>
      </w:tr>
      <w:tr w:rsidR="00190EA6">
        <w:trPr>
          <w:cantSplit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 сервиса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поддерживать работоспособность и качество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реестр языков и моделей, мониторинг, лимиты</w:t>
            </w:r>
          </w:p>
        </w:tc>
      </w:tr>
    </w:tbl>
    <w:p w:rsidR="00190EA6" w:rsidRDefault="00190EA6">
      <w:pPr>
        <w:spacing w:line="240" w:lineRule="auto"/>
        <w:jc w:val="both"/>
      </w:pPr>
    </w:p>
    <w:p w:rsidR="00190EA6" w:rsidRDefault="00D754AA">
      <w:pPr>
        <w:ind w:firstLine="709"/>
        <w:jc w:val="both"/>
      </w:pPr>
      <w:r>
        <w:t>Связь пользователей с функциями показан</w:t>
      </w:r>
      <w:r>
        <w:t>а на диаграмме вариантов использования (рисунок 4.1). Учащийся наследует все возможности гостя и дополнительно работает с карточками. Внешний актор «LLM-провайдер» участвует в определении языка и формировании пояснений.</w:t>
      </w:r>
    </w:p>
    <w:p w:rsidR="00190EA6" w:rsidRDefault="00D754AA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943600" cy="3848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EA6" w:rsidRDefault="00D754AA">
      <w:pPr>
        <w:spacing w:after="200"/>
        <w:jc w:val="center"/>
      </w:pPr>
      <w:r>
        <w:t>Рисунок 4.1 – Диаграмма вариантов использования (UML Use Case)</w:t>
      </w:r>
    </w:p>
    <w:p w:rsidR="00190EA6" w:rsidRDefault="00D754AA">
      <w:pPr>
        <w:pStyle w:val="1"/>
        <w:spacing w:before="360"/>
      </w:pPr>
      <w:r>
        <w:t>5 Интерфейс и способы взаимодействия</w:t>
      </w:r>
    </w:p>
    <w:p w:rsidR="00190EA6" w:rsidRDefault="00D754AA">
      <w:pPr>
        <w:ind w:firstLine="709"/>
        <w:jc w:val="both"/>
      </w:pPr>
      <w:r>
        <w:t>Пользователь взаимодействует с продуктом тремя способами:</w:t>
      </w:r>
    </w:p>
    <w:p w:rsidR="00190EA6" w:rsidRDefault="00D754AA">
      <w:pPr>
        <w:ind w:firstLine="709"/>
        <w:jc w:val="both"/>
      </w:pPr>
      <w:r>
        <w:rPr>
          <w:b/>
          <w:bCs/>
        </w:rPr>
        <w:t>– веб-интерфейс</w:t>
      </w:r>
      <w:r>
        <w:t> — две панели «исходный текст / перевод», переключатель языков, меню вида (пояснени</w:t>
      </w:r>
      <w:r>
        <w:t>я, транслитерация, выравнивание), разделы «Фразы», «Сохранённое», «Фото»; интерфейс локализован на 22 языка, адаптирован для мобильных экранов;</w:t>
      </w:r>
    </w:p>
    <w:p w:rsidR="00190EA6" w:rsidRDefault="00D754AA">
      <w:pPr>
        <w:ind w:firstLine="709"/>
        <w:jc w:val="both"/>
      </w:pPr>
      <w:r>
        <w:rPr>
          <w:b/>
          <w:bCs/>
        </w:rPr>
        <w:t>– мобильное приложение iOS</w:t>
      </w:r>
      <w:r>
        <w:t> — вкладки «Перевод», «История», «Обучение», «Настройки»; в «Обучении» — колоды, карто</w:t>
      </w:r>
      <w:r>
        <w:t>чки и сессия повторения с четырьмя кнопками оценки;</w:t>
      </w:r>
    </w:p>
    <w:p w:rsidR="00190EA6" w:rsidRDefault="00D754AA">
      <w:pPr>
        <w:ind w:firstLine="709"/>
        <w:jc w:val="both"/>
      </w:pPr>
      <w:r>
        <w:rPr>
          <w:b/>
          <w:bCs/>
        </w:rPr>
        <w:t>– расширение браузера</w:t>
      </w:r>
      <w:r>
        <w:t> — перевод выделенного текста на любой веб-странице.</w:t>
      </w:r>
    </w:p>
    <w:p w:rsidR="00190EA6" w:rsidRDefault="00D754AA">
      <w:pPr>
        <w:ind w:firstLine="709"/>
        <w:jc w:val="both"/>
      </w:pPr>
      <w:r>
        <w:t>Все клиенты обращаются к единому программному интерфейсу REST (префикс /api, формат JSON). Доступ защищён подписанным токеном сеан</w:t>
      </w:r>
      <w:r>
        <w:t>са (SID), ограничением частоты запросов и невидимой капчей.</w:t>
      </w:r>
    </w:p>
    <w:p w:rsidR="00190EA6" w:rsidRDefault="00D754AA">
      <w:pPr>
        <w:pStyle w:val="1"/>
        <w:spacing w:before="360"/>
      </w:pPr>
      <w:r>
        <w:t>6 Составные части продукта</w:t>
      </w:r>
    </w:p>
    <w:p w:rsidR="00190EA6" w:rsidRDefault="00D754AA">
      <w:pPr>
        <w:ind w:firstLine="709"/>
        <w:jc w:val="both"/>
      </w:pPr>
      <w:r>
        <w:t>Компонентная структура продукта приведена на рисунке 6.1. Клиентские приложения обращаются к SSR-серверу (рендеринг страниц, выдача токенов) и к серверу API, разделённому на модули: перевод, маршрутизация, определение языка, обогащение, речь и OCR, обучени</w:t>
      </w:r>
      <w:r>
        <w:t>е, доступ, кэш. Модели и хранилища вынесены в отдельные компоненты.</w:t>
      </w:r>
    </w:p>
    <w:p w:rsidR="00190EA6" w:rsidRDefault="00D754AA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943600" cy="2562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EA6" w:rsidRDefault="00D754AA">
      <w:pPr>
        <w:spacing w:after="200"/>
        <w:jc w:val="center"/>
      </w:pPr>
      <w:r>
        <w:t>Рисунок 6.1 – Диаграмма компонентов (UML Component)</w:t>
      </w:r>
    </w:p>
    <w:p w:rsidR="00190EA6" w:rsidRDefault="00D754AA">
      <w:pPr>
        <w:ind w:firstLine="709"/>
        <w:jc w:val="both"/>
      </w:pPr>
      <w:r>
        <w:t>Физическое размещение компонентов показано на диаграмме развёртывания (рисунок 6.2): каждый компонент работает в отдельном Docker-конт</w:t>
      </w:r>
      <w:r>
        <w:t>ейнере на сервере приложений, TLS терминируется на пограничном сервере, наружу открыт только один порт.</w:t>
      </w:r>
    </w:p>
    <w:p w:rsidR="00190EA6" w:rsidRDefault="00D754AA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943600" cy="259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EA6" w:rsidRDefault="00D754AA">
      <w:pPr>
        <w:spacing w:after="200"/>
        <w:jc w:val="center"/>
      </w:pPr>
      <w:r>
        <w:t>Рисунок 6.2 – Диаграмма развёртывания (UML Deployment)</w:t>
      </w:r>
    </w:p>
    <w:p w:rsidR="00190EA6" w:rsidRDefault="00D754AA">
      <w:pPr>
        <w:pStyle w:val="1"/>
        <w:spacing w:before="360"/>
      </w:pPr>
      <w:r>
        <w:t>7 Используемые типы и структуры данных</w:t>
      </w:r>
    </w:p>
    <w:p w:rsidR="00190EA6" w:rsidRDefault="00D754AA">
      <w:pPr>
        <w:ind w:firstLine="709"/>
        <w:jc w:val="both"/>
      </w:pPr>
      <w:r>
        <w:t>Основные классы предметной области и их связи показаны н</w:t>
      </w:r>
      <w:r>
        <w:t>а рисунке 7.1. Подсистема перевода оперирует запросом (TranslationRequest), результатом (TranslationResult), маршрутом и рёбрами графа качества (ModelEdge); движки перевода реализуют общий интерфейс TranslationEngine. Подсистема обучения хранит колоды (Dec</w:t>
      </w:r>
      <w:r>
        <w:t>k), карточки (Card), журнал повторений (ReviewLog) и состояние памяти (MemoryState), которое вычисляет планировщик FSRS.</w:t>
      </w:r>
    </w:p>
    <w:p w:rsidR="00190EA6" w:rsidRDefault="00D754AA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943600" cy="2619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EA6" w:rsidRDefault="00D754AA">
      <w:pPr>
        <w:spacing w:after="200"/>
        <w:jc w:val="center"/>
      </w:pPr>
      <w:r>
        <w:t>Рисунок 7.1 – Диаграмма классов (UML Class)</w:t>
      </w:r>
    </w:p>
    <w:p w:rsidR="00190EA6" w:rsidRDefault="00D754AA">
      <w:pPr>
        <w:keepNext/>
        <w:spacing w:before="120" w:after="60"/>
      </w:pPr>
      <w:r>
        <w:t>Таблица 7.1 – Основные структуры данных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1"/>
        <w:gridCol w:w="2552"/>
        <w:gridCol w:w="4706"/>
      </w:tblGrid>
      <w:tr w:rsidR="00190EA6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Структура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Хранение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190EA6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Реестр языков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registry.json (генерируется в код)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247 языков, модели, качество пар, доступные функции</w:t>
            </w:r>
          </w:p>
        </w:tc>
      </w:tr>
      <w:tr w:rsidR="00190EA6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Кэш ответов LLM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память (LRU, 50 000) + таблица llm_cache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пространство имён, ключ sha256, значение jsonb, срок жизни</w:t>
            </w:r>
          </w:p>
        </w:tc>
      </w:tr>
      <w:tr w:rsidR="00190EA6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Фразы разговорника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таблица phrases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пара языков, исходный и целевой текст, примечание</w:t>
            </w:r>
          </w:p>
        </w:tc>
      </w:tr>
      <w:tr w:rsidR="00190EA6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Карточки слов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таблица word_cards; SQLite на устройстве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лицо, оборот, контекст, примеры, аудио</w:t>
            </w:r>
          </w:p>
        </w:tc>
      </w:tr>
      <w:tr w:rsidR="00190EA6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Состояние памяти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на устройстве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190EA6" w:rsidRDefault="00D754AA">
            <w:pPr>
              <w:spacing w:line="240" w:lineRule="auto"/>
            </w:pPr>
            <w:r>
              <w:rPr>
                <w:sz w:val="24"/>
                <w:szCs w:val="24"/>
              </w:rPr>
              <w:t>стабильность, трудность, дата следующего повтора</w:t>
            </w:r>
          </w:p>
        </w:tc>
      </w:tr>
    </w:tbl>
    <w:p w:rsidR="00190EA6" w:rsidRDefault="00190EA6">
      <w:pPr>
        <w:spacing w:line="240" w:lineRule="auto"/>
        <w:jc w:val="both"/>
      </w:pPr>
    </w:p>
    <w:p w:rsidR="00190EA6" w:rsidRDefault="00D754AA">
      <w:pPr>
        <w:pStyle w:val="1"/>
        <w:spacing w:before="360"/>
      </w:pPr>
      <w:r>
        <w:t>8 Перспективы развития и интеграции</w:t>
      </w:r>
    </w:p>
    <w:p w:rsidR="00190EA6" w:rsidRDefault="00D754AA">
      <w:pPr>
        <w:ind w:firstLine="709"/>
        <w:jc w:val="both"/>
      </w:pPr>
      <w:r>
        <w:t>– синхронизация карточек между вебом и мобильным приложением через учётную запись пользователя;</w:t>
      </w:r>
    </w:p>
    <w:p w:rsidR="00190EA6" w:rsidRDefault="00D754AA">
      <w:pPr>
        <w:ind w:firstLine="709"/>
        <w:jc w:val="both"/>
      </w:pPr>
      <w:r>
        <w:t>– веб-версия модуля обучения (реализация FSRS на TypeScript);</w:t>
      </w:r>
    </w:p>
    <w:p w:rsidR="00190EA6" w:rsidRDefault="00D754AA">
      <w:pPr>
        <w:ind w:firstLine="709"/>
        <w:jc w:val="both"/>
      </w:pPr>
      <w:r>
        <w:t>– публичный API перевода и словаря для сторонних образовательн</w:t>
      </w:r>
      <w:r>
        <w:t>ых платформ (LMS, электронные учебники);</w:t>
      </w:r>
    </w:p>
    <w:p w:rsidR="00190EA6" w:rsidRDefault="00D754AA">
      <w:pPr>
        <w:ind w:firstLine="709"/>
        <w:jc w:val="both"/>
      </w:pPr>
      <w:r>
        <w:t>– интеграция с российскими LLM-платформами (Yandex AI Studio, GigaChat) и локальными моделями для работы без внешних API;</w:t>
      </w:r>
    </w:p>
    <w:p w:rsidR="00190EA6" w:rsidRDefault="00D754AA">
      <w:pPr>
        <w:ind w:firstLine="709"/>
        <w:jc w:val="both"/>
      </w:pPr>
      <w:r>
        <w:t>– экспорт карточек в форматы Anki и Quizlet, приложение для Android.</w:t>
      </w:r>
    </w:p>
    <w:p w:rsidR="00190EA6" w:rsidRDefault="00D754AA">
      <w:pPr>
        <w:pStyle w:val="1"/>
        <w:spacing w:before="360"/>
      </w:pPr>
      <w:r>
        <w:t>Заключение</w:t>
      </w:r>
    </w:p>
    <w:p w:rsidR="00190EA6" w:rsidRDefault="00D754AA">
      <w:pPr>
        <w:ind w:firstLine="709"/>
        <w:jc w:val="both"/>
      </w:pPr>
      <w:r>
        <w:t>Средствами IDEF0, BPMN и UML описан программный продукт «TransLark»: назначение, функции, пользователи, интерфейсы, компоненты, структуры данных и перспективы развития. Модели используются далее при разработке технического задания (ЛР 2) и эскизного проект</w:t>
      </w:r>
      <w:r>
        <w:t>а (ЛР 3).</w:t>
      </w:r>
    </w:p>
    <w:sectPr w:rsidR="00190EA6">
      <w:footerReference w:type="default" r:id="rId14"/>
      <w:pgSz w:w="11906" w:h="16838"/>
      <w:pgMar w:top="1134" w:right="567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754AA">
      <w:pPr>
        <w:spacing w:line="240" w:lineRule="auto"/>
      </w:pPr>
      <w:r>
        <w:separator/>
      </w:r>
    </w:p>
  </w:endnote>
  <w:endnote w:type="continuationSeparator" w:id="0">
    <w:p w:rsidR="00000000" w:rsidRDefault="00D754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EA6" w:rsidRDefault="00D754AA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754AA">
      <w:pPr>
        <w:spacing w:line="240" w:lineRule="auto"/>
      </w:pPr>
      <w:r>
        <w:separator/>
      </w:r>
    </w:p>
  </w:footnote>
  <w:footnote w:type="continuationSeparator" w:id="0">
    <w:p w:rsidR="00000000" w:rsidRDefault="00D754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E6290B"/>
    <w:multiLevelType w:val="hybridMultilevel"/>
    <w:tmpl w:val="A440AF1E"/>
    <w:lvl w:ilvl="0" w:tplc="B01E1542" w:tentative="1">
      <w:start w:val="1"/>
      <w:numFmt w:val="bullet"/>
      <w:lvlText w:val="●"/>
      <w:lvlJc w:val="left"/>
      <w:pPr>
        <w:ind w:left="720" w:hanging="360"/>
      </w:pPr>
    </w:lvl>
    <w:lvl w:ilvl="1" w:tplc="C48237B8" w:tentative="1">
      <w:start w:val="1"/>
      <w:numFmt w:val="bullet"/>
      <w:lvlText w:val="○"/>
      <w:lvlJc w:val="left"/>
      <w:pPr>
        <w:ind w:left="1440" w:hanging="360"/>
      </w:pPr>
    </w:lvl>
    <w:lvl w:ilvl="2" w:tplc="F2960B22" w:tentative="1">
      <w:start w:val="1"/>
      <w:numFmt w:val="bullet"/>
      <w:lvlText w:val="■"/>
      <w:lvlJc w:val="left"/>
      <w:pPr>
        <w:ind w:left="2160" w:hanging="360"/>
      </w:pPr>
    </w:lvl>
    <w:lvl w:ilvl="3" w:tplc="8812B6D0" w:tentative="1">
      <w:start w:val="1"/>
      <w:numFmt w:val="bullet"/>
      <w:lvlText w:val="●"/>
      <w:lvlJc w:val="left"/>
      <w:pPr>
        <w:ind w:left="2880" w:hanging="360"/>
      </w:pPr>
    </w:lvl>
    <w:lvl w:ilvl="4" w:tplc="FFE466A0" w:tentative="1">
      <w:start w:val="1"/>
      <w:numFmt w:val="bullet"/>
      <w:lvlText w:val="○"/>
      <w:lvlJc w:val="left"/>
      <w:pPr>
        <w:ind w:left="3600" w:hanging="360"/>
      </w:pPr>
    </w:lvl>
    <w:lvl w:ilvl="5" w:tplc="81D8E22C" w:tentative="1">
      <w:start w:val="1"/>
      <w:numFmt w:val="bullet"/>
      <w:lvlText w:val="■"/>
      <w:lvlJc w:val="left"/>
      <w:pPr>
        <w:ind w:left="4320" w:hanging="360"/>
      </w:pPr>
    </w:lvl>
    <w:lvl w:ilvl="6" w:tplc="6216538C" w:tentative="1">
      <w:start w:val="1"/>
      <w:numFmt w:val="bullet"/>
      <w:lvlText w:val="●"/>
      <w:lvlJc w:val="left"/>
      <w:pPr>
        <w:ind w:left="5040" w:hanging="360"/>
      </w:pPr>
    </w:lvl>
    <w:lvl w:ilvl="7" w:tplc="A296DCA0" w:tentative="1">
      <w:start w:val="1"/>
      <w:numFmt w:val="bullet"/>
      <w:lvlText w:val="●"/>
      <w:lvlJc w:val="left"/>
      <w:pPr>
        <w:ind w:left="5760" w:hanging="360"/>
      </w:pPr>
    </w:lvl>
    <w:lvl w:ilvl="8" w:tplc="63F8A79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EA6"/>
    <w:rsid w:val="00190EA6"/>
    <w:rsid w:val="00D7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7ADC91-8CC6-4079-A04F-07F4A511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uppressAutoHyphens/>
      <w:spacing w:after="420"/>
      <w:ind w:firstLine="709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suppressAutoHyphens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StructHeading">
    <w:name w:val="Struct Heading"/>
    <w:basedOn w:val="1"/>
    <w:next w:val="a"/>
    <w:pPr>
      <w:ind w:firstLine="0"/>
      <w:jc w:val="center"/>
    </w:pPr>
    <w:rPr>
      <w:caps/>
    </w:rPr>
  </w:style>
  <w:style w:type="paragraph" w:styleId="11">
    <w:name w:val="toc 1"/>
    <w:basedOn w:val="a"/>
    <w:next w:val="a"/>
    <w:autoRedefine/>
    <w:uiPriority w:val="39"/>
    <w:semiHidden/>
    <w:unhideWhenUsed/>
    <w:rsid w:val="00D754AA"/>
  </w:style>
  <w:style w:type="paragraph" w:styleId="20">
    <w:name w:val="toc 2"/>
    <w:basedOn w:val="a"/>
    <w:next w:val="a"/>
    <w:autoRedefine/>
    <w:uiPriority w:val="39"/>
    <w:semiHidden/>
    <w:unhideWhenUsed/>
    <w:rsid w:val="00D754AA"/>
    <w:pPr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1189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TransLark</dc:creator>
  <cp:lastModifiedBy>TransLark</cp:lastModifiedBy>
  <cp:revision>2</cp:revision>
  <dcterms:created xsi:type="dcterms:W3CDTF">2026-10-17T16:56:00Z</dcterms:created>
  <dcterms:modified xsi:type="dcterms:W3CDTF">2026-10-17T16:56:00Z</dcterms:modified>
</cp:coreProperties>
</file>