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28DF" w:rsidRDefault="006233FF" w:rsidP="006233FF">
      <w:pPr>
        <w:suppressAutoHyphens/>
        <w:spacing w:line="276" w:lineRule="auto"/>
        <w:jc w:val="center"/>
      </w:pPr>
      <w:bookmarkStart w:id="0" w:name="_GoBack"/>
      <w:bookmarkEnd w:id="0"/>
      <w:r>
        <w:t>Министерство науки и высшего образования Российской Федерации</w:t>
      </w:r>
    </w:p>
    <w:p w:rsidR="000B28DF" w:rsidRDefault="006233FF" w:rsidP="006233FF">
      <w:pPr>
        <w:suppressAutoHyphens/>
        <w:spacing w:line="276" w:lineRule="auto"/>
        <w:jc w:val="center"/>
      </w:pPr>
      <w:r>
        <w:t>Федеральное государственное бюджетное образовательное учреждение высшего образования</w:t>
      </w:r>
    </w:p>
    <w:p w:rsidR="000B28DF" w:rsidRDefault="006233FF" w:rsidP="006233FF">
      <w:pPr>
        <w:suppressAutoHyphens/>
        <w:spacing w:line="276" w:lineRule="auto"/>
        <w:jc w:val="center"/>
      </w:pPr>
      <w:r>
        <w:rPr>
          <w:b/>
          <w:bCs/>
        </w:rPr>
        <w:t>«Российский государственный университет им. А. Н. Косыгина</w:t>
      </w:r>
    </w:p>
    <w:p w:rsidR="000B28DF" w:rsidRDefault="006233FF" w:rsidP="006233FF">
      <w:pPr>
        <w:suppressAutoHyphens/>
        <w:spacing w:line="276" w:lineRule="auto"/>
        <w:jc w:val="center"/>
      </w:pPr>
      <w:r>
        <w:rPr>
          <w:b/>
          <w:bCs/>
        </w:rPr>
        <w:t>(Технологии. Дизайн. Искусство)»</w:t>
      </w:r>
    </w:p>
    <w:p w:rsidR="000B28DF" w:rsidRDefault="006233FF" w:rsidP="006233FF">
      <w:pPr>
        <w:suppressAutoHyphens/>
        <w:spacing w:before="120" w:line="276" w:lineRule="auto"/>
        <w:jc w:val="center"/>
      </w:pPr>
      <w:r>
        <w:t>Институт информационных технологий и цифровой трансформации</w:t>
      </w:r>
    </w:p>
    <w:p w:rsidR="000B28DF" w:rsidRDefault="006233FF" w:rsidP="006233FF">
      <w:pPr>
        <w:suppressAutoHyphens/>
        <w:spacing w:line="276" w:lineRule="auto"/>
        <w:jc w:val="center"/>
      </w:pPr>
      <w:r>
        <w:t>Кафедра информационных технологий</w:t>
      </w:r>
    </w:p>
    <w:p w:rsidR="000B28DF" w:rsidRDefault="006233FF" w:rsidP="006233FF">
      <w:pPr>
        <w:suppressAutoHyphens/>
        <w:spacing w:before="1500"/>
        <w:jc w:val="center"/>
      </w:pPr>
      <w:r>
        <w:rPr>
          <w:b/>
          <w:bCs/>
          <w:sz w:val="32"/>
          <w:szCs w:val="32"/>
        </w:rPr>
        <w:t>ОТЧЁТ</w:t>
      </w:r>
    </w:p>
    <w:p w:rsidR="000B28DF" w:rsidRDefault="006233FF" w:rsidP="006233FF">
      <w:pPr>
        <w:suppressAutoHyphens/>
        <w:jc w:val="center"/>
      </w:pPr>
      <w:r>
        <w:t>по лабораторной работе № 4</w:t>
      </w:r>
    </w:p>
    <w:p w:rsidR="000B28DF" w:rsidRDefault="006233FF" w:rsidP="006233FF">
      <w:pPr>
        <w:suppressAutoHyphens/>
        <w:jc w:val="center"/>
      </w:pPr>
      <w:r>
        <w:rPr>
          <w:b/>
          <w:bCs/>
        </w:rPr>
        <w:t>«Оценка качественных показателей программного продукта»</w:t>
      </w:r>
    </w:p>
    <w:p w:rsidR="000B28DF" w:rsidRDefault="006233FF" w:rsidP="006233FF">
      <w:pPr>
        <w:suppressAutoHyphens/>
        <w:spacing w:before="120"/>
        <w:jc w:val="center"/>
      </w:pPr>
      <w:r>
        <w:t>по дисциплине «Основы автоматизированного проектирования»</w:t>
      </w:r>
    </w:p>
    <w:p w:rsidR="000B28DF" w:rsidRDefault="006233FF" w:rsidP="006233FF">
      <w:pPr>
        <w:suppressAutoHyphens/>
        <w:spacing w:before="120"/>
        <w:jc w:val="center"/>
      </w:pPr>
      <w:r>
        <w:rPr>
          <w:i/>
          <w:iCs/>
        </w:rPr>
        <w:t>Программный про</w:t>
      </w:r>
      <w:r>
        <w:rPr>
          <w:i/>
          <w:iCs/>
        </w:rPr>
        <w:t>дукт: «TransLark — интеллектуальный сервис для перевода и изучения иностранных языков»</w:t>
      </w:r>
    </w:p>
    <w:p w:rsidR="000B28DF" w:rsidRDefault="006233FF" w:rsidP="006233FF">
      <w:pPr>
        <w:suppressAutoHyphens/>
        <w:spacing w:before="1100"/>
        <w:ind w:left="4536"/>
      </w:pPr>
      <w:r>
        <w:t>Выполнил: студент группы ИТС-123</w:t>
      </w:r>
    </w:p>
    <w:p w:rsidR="000B28DF" w:rsidRDefault="006233FF" w:rsidP="006233FF">
      <w:pPr>
        <w:suppressAutoHyphens/>
        <w:spacing w:after="200"/>
        <w:ind w:left="4536"/>
      </w:pPr>
      <w:r>
        <w:t>_______________ (подпись)</w:t>
      </w:r>
    </w:p>
    <w:p w:rsidR="000B28DF" w:rsidRDefault="006233FF" w:rsidP="006233FF">
      <w:pPr>
        <w:suppressAutoHyphens/>
        <w:ind w:left="4536"/>
      </w:pPr>
      <w:r>
        <w:t>Проверил: преподаватель</w:t>
      </w:r>
    </w:p>
    <w:p w:rsidR="000B28DF" w:rsidRDefault="006233FF" w:rsidP="006233FF">
      <w:pPr>
        <w:suppressAutoHyphens/>
        <w:ind w:left="4536"/>
      </w:pPr>
      <w:r>
        <w:t>_______________ (подпись)</w:t>
      </w:r>
    </w:p>
    <w:p w:rsidR="000B28DF" w:rsidRDefault="006233FF" w:rsidP="006233FF">
      <w:pPr>
        <w:suppressAutoHyphens/>
        <w:spacing w:before="900"/>
        <w:jc w:val="center"/>
        <w:sectPr w:rsidR="000B28DF">
          <w:pgSz w:w="11906" w:h="16838"/>
          <w:pgMar w:top="1134" w:right="567" w:bottom="1134" w:left="1701" w:header="708" w:footer="708" w:gutter="0"/>
          <w:cols w:space="720"/>
          <w:docGrid w:linePitch="360"/>
        </w:sectPr>
      </w:pPr>
      <w:r>
        <w:t>Москва 2026</w:t>
      </w:r>
    </w:p>
    <w:p w:rsidR="000B28DF" w:rsidRDefault="006233FF">
      <w:pPr>
        <w:pStyle w:val="1"/>
        <w:spacing w:before="360"/>
      </w:pPr>
      <w:r>
        <w:lastRenderedPageBreak/>
        <w:t>1 Цель и исходные документы</w:t>
      </w:r>
    </w:p>
    <w:p w:rsidR="000B28DF" w:rsidRDefault="006233FF">
      <w:pPr>
        <w:ind w:firstLine="709"/>
        <w:jc w:val="both"/>
      </w:pPr>
      <w:r>
        <w:t xml:space="preserve">Цель — </w:t>
      </w:r>
      <w:r>
        <w:t>разработать критерии качества и оценить качественные показатели программного продукта «TransLark». Использованы ГОСТ 28806-90 «Качество программных средств. Термины и определения» и ГОСТ Р ИСО/МЭК 9126 «Оценка программной продукции. Характеристики качества</w:t>
      </w:r>
      <w:r>
        <w:t xml:space="preserve"> и руководства по их применению».</w:t>
      </w:r>
    </w:p>
    <w:p w:rsidR="000B28DF" w:rsidRDefault="006233FF">
      <w:pPr>
        <w:ind w:firstLine="709"/>
        <w:jc w:val="both"/>
      </w:pPr>
      <w:r>
        <w:t>По ГОСТ Р ИСО/МЭК 9126 качество описывается шестью характеристиками: функциональностью, надёжностью, практичностью, эффективностью, сопровождаемостью и мобильностью. Для каждой характеристики выбраны существенные показател</w:t>
      </w:r>
      <w:r>
        <w:t>и, то есть такие, по которым понятна выгода для пользователя или разработчика.</w:t>
      </w:r>
    </w:p>
    <w:p w:rsidR="000B28DF" w:rsidRDefault="006233FF">
      <w:pPr>
        <w:pStyle w:val="1"/>
        <w:spacing w:before="360"/>
      </w:pPr>
      <w:r>
        <w:t>2 Методика оценки</w:t>
      </w:r>
    </w:p>
    <w:p w:rsidR="000B28DF" w:rsidRDefault="006233FF">
      <w:pPr>
        <w:ind w:firstLine="709"/>
        <w:jc w:val="both"/>
      </w:pPr>
      <w:r>
        <w:t>Для каждого показателя i установлены:</w:t>
      </w:r>
    </w:p>
    <w:p w:rsidR="000B28DF" w:rsidRDefault="006233FF">
      <w:pPr>
        <w:ind w:firstLine="709"/>
        <w:jc w:val="both"/>
      </w:pPr>
      <w:r>
        <w:rPr>
          <w:b/>
          <w:bCs/>
        </w:rPr>
        <w:t>– вес wᵢ</w:t>
      </w:r>
      <w:r>
        <w:t> — экспертная оценка разработчика значимости показателя, ∑wᵢ = 1;</w:t>
      </w:r>
    </w:p>
    <w:p w:rsidR="000B28DF" w:rsidRDefault="006233FF">
      <w:pPr>
        <w:ind w:firstLine="709"/>
        <w:jc w:val="both"/>
      </w:pPr>
      <w:r>
        <w:rPr>
          <w:b/>
          <w:bCs/>
        </w:rPr>
        <w:t>– оценка rᵢ</w:t>
      </w:r>
      <w:r>
        <w:t xml:space="preserve"> от 0 до 1: 0,3 — свойство присутствует, но его качество несущественно; 0,6 — свойство присутствует и обладает существенным качеством; 0,9 — свойство обладает очень существенным качеством; допускаются промежуточные значения.</w:t>
      </w:r>
    </w:p>
    <w:p w:rsidR="000B28DF" w:rsidRDefault="006233FF">
      <w:pPr>
        <w:ind w:firstLine="709"/>
        <w:jc w:val="both"/>
      </w:pPr>
      <w:r>
        <w:t>Комплексный показатель качества</w:t>
      </w:r>
      <w:r>
        <w:t xml:space="preserve"> вычисляется как взвешенная сумма K = ∑ wᵢ · rᵢ. Продукт считается удовлетворяющим требованиям при K ≥ 0,7.</w:t>
      </w:r>
    </w:p>
    <w:p w:rsidR="000B28DF" w:rsidRDefault="006233FF">
      <w:pPr>
        <w:ind w:firstLine="709"/>
        <w:jc w:val="both"/>
      </w:pPr>
      <w:r>
        <w:t>Значения rᵢ установлены по результатам испытаний (ЛР 5), сравнительной оценки моделей перевода и замеров на рабочем стенде. Опрос тестовой группы по</w:t>
      </w:r>
      <w:r>
        <w:t>льзователей планируется на этапе приёмочных испытаний ВКР; после опроса столбец rᵢ уточняется.</w:t>
      </w:r>
    </w:p>
    <w:p w:rsidR="000B28DF" w:rsidRDefault="006233FF">
      <w:pPr>
        <w:pStyle w:val="1"/>
        <w:spacing w:before="360"/>
      </w:pPr>
      <w:r>
        <w:lastRenderedPageBreak/>
        <w:t>3 Показатели качества и их оценка</w:t>
      </w:r>
    </w:p>
    <w:p w:rsidR="000B28DF" w:rsidRDefault="006233FF">
      <w:pPr>
        <w:keepNext/>
        <w:spacing w:before="120" w:after="60"/>
      </w:pPr>
      <w:r>
        <w:t>Таблица 3.1 – Показатели качества ПП «TransLark»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8"/>
        <w:gridCol w:w="3742"/>
        <w:gridCol w:w="1077"/>
        <w:gridCol w:w="1077"/>
        <w:gridCol w:w="1134"/>
      </w:tblGrid>
      <w:tr w:rsidR="000B28DF">
        <w:trPr>
          <w:cantSplit/>
          <w:tblHeader/>
          <w:jc w:val="center"/>
        </w:trPr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Показатель качества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Сущность показателя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Вес wᵢ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Оценка rᵢ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wᵢ · rᵢ</w:t>
            </w:r>
          </w:p>
        </w:tc>
      </w:tr>
      <w:tr w:rsidR="000B28DF">
        <w:trPr>
          <w:cantSplit/>
          <w:jc w:val="center"/>
        </w:trPr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</w:pPr>
            <w:r>
              <w:rPr>
                <w:sz w:val="24"/>
                <w:szCs w:val="24"/>
              </w:rPr>
              <w:t>Функциональность 1. Полнота языков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</w:pPr>
            <w:r>
              <w:rPr>
                <w:sz w:val="24"/>
                <w:szCs w:val="24"/>
              </w:rPr>
              <w:t>Число поддерживаемых языков и доля пар, переводимых напрямую или через посредника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0,12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0,90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0,108</w:t>
            </w:r>
          </w:p>
        </w:tc>
      </w:tr>
      <w:tr w:rsidR="000B28DF">
        <w:trPr>
          <w:cantSplit/>
          <w:jc w:val="center"/>
        </w:trPr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</w:pPr>
            <w:r>
              <w:rPr>
                <w:sz w:val="24"/>
                <w:szCs w:val="24"/>
              </w:rPr>
              <w:t>Функциональность 2. Точность перевода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</w:pPr>
            <w:r>
              <w:rPr>
                <w:sz w:val="24"/>
                <w:szCs w:val="24"/>
              </w:rPr>
              <w:t>Средняя оценка качества перевода по результатам сравнительной оценки моделей (0–10, приведена к 0–1)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0,15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0,80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0,120</w:t>
            </w:r>
          </w:p>
        </w:tc>
      </w:tr>
      <w:tr w:rsidR="000B28DF">
        <w:trPr>
          <w:cantSplit/>
          <w:jc w:val="center"/>
        </w:trPr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</w:pPr>
            <w:r>
              <w:rPr>
                <w:sz w:val="24"/>
                <w:szCs w:val="24"/>
              </w:rPr>
              <w:t>Функциональность 3. Обогащение перевода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</w:pPr>
            <w:r>
              <w:rPr>
                <w:sz w:val="24"/>
                <w:szCs w:val="24"/>
              </w:rPr>
              <w:t>Наличие пояснений идиом, примеров, выравнивания, проверки ошибок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0,08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0,90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0,072</w:t>
            </w:r>
          </w:p>
        </w:tc>
      </w:tr>
      <w:tr w:rsidR="000B28DF">
        <w:trPr>
          <w:cantSplit/>
          <w:jc w:val="center"/>
        </w:trPr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</w:pPr>
            <w:r>
              <w:rPr>
                <w:sz w:val="24"/>
                <w:szCs w:val="24"/>
              </w:rPr>
              <w:t>Функциональность 4. Обучение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</w:pPr>
            <w:r>
              <w:rPr>
                <w:sz w:val="24"/>
                <w:szCs w:val="24"/>
              </w:rPr>
              <w:t>Создание карточек из перевода, планирование повторений FSRS, импорт колод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0,10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0,60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0,060</w:t>
            </w:r>
          </w:p>
        </w:tc>
      </w:tr>
      <w:tr w:rsidR="000B28DF">
        <w:trPr>
          <w:cantSplit/>
          <w:jc w:val="center"/>
        </w:trPr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</w:pPr>
            <w:r>
              <w:rPr>
                <w:sz w:val="24"/>
                <w:szCs w:val="24"/>
              </w:rPr>
              <w:t>Надёжность 1. Отказоустойчивость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</w:pPr>
            <w:r>
              <w:rPr>
                <w:sz w:val="24"/>
                <w:szCs w:val="24"/>
              </w:rPr>
              <w:t>Работа при недоступности внешнего LLM (резервная модель), отсутствие потери запросов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0,10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0,80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0,080</w:t>
            </w:r>
          </w:p>
        </w:tc>
      </w:tr>
      <w:tr w:rsidR="000B28DF">
        <w:trPr>
          <w:cantSplit/>
          <w:jc w:val="center"/>
        </w:trPr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</w:pPr>
            <w:r>
              <w:rPr>
                <w:sz w:val="24"/>
                <w:szCs w:val="24"/>
              </w:rPr>
              <w:t>Надёжность 2. Доступность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</w:pPr>
            <w:r>
              <w:rPr>
                <w:sz w:val="24"/>
                <w:szCs w:val="24"/>
              </w:rPr>
              <w:t>Доля времени, когда сервис отвечает на запросы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0,07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0,90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0,063</w:t>
            </w:r>
          </w:p>
        </w:tc>
      </w:tr>
      <w:tr w:rsidR="000B28DF">
        <w:trPr>
          <w:cantSplit/>
          <w:jc w:val="center"/>
        </w:trPr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</w:pPr>
            <w:r>
              <w:rPr>
                <w:sz w:val="24"/>
                <w:szCs w:val="24"/>
              </w:rPr>
              <w:t>Практичность 1. Простота освоения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</w:pPr>
            <w:r>
              <w:rPr>
                <w:sz w:val="24"/>
                <w:szCs w:val="24"/>
              </w:rPr>
              <w:t>Возможность начать перевод без регистрации и обучения, понятность интерфейса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0,08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0,90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0,072</w:t>
            </w:r>
          </w:p>
        </w:tc>
      </w:tr>
      <w:tr w:rsidR="000B28DF">
        <w:trPr>
          <w:cantSplit/>
          <w:jc w:val="center"/>
        </w:trPr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</w:pPr>
            <w:r>
              <w:rPr>
                <w:sz w:val="24"/>
                <w:szCs w:val="24"/>
              </w:rPr>
              <w:t>Практичность 2. Доступность интерфейса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</w:pPr>
            <w:r>
              <w:rPr>
                <w:sz w:val="24"/>
                <w:szCs w:val="24"/>
              </w:rPr>
              <w:t>Адаптивность, локализация на 22 языка, тёмная тема, контрастность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0,05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0,80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0,040</w:t>
            </w:r>
          </w:p>
        </w:tc>
      </w:tr>
      <w:tr w:rsidR="000B28DF">
        <w:trPr>
          <w:cantSplit/>
          <w:jc w:val="center"/>
        </w:trPr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</w:pPr>
            <w:r>
              <w:rPr>
                <w:sz w:val="24"/>
                <w:szCs w:val="24"/>
              </w:rPr>
              <w:t>Эффективность 1. Время отклика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</w:pPr>
            <w:r>
              <w:rPr>
                <w:sz w:val="24"/>
                <w:szCs w:val="24"/>
              </w:rPr>
              <w:t>Время ответа API и загрузки страниц; использование кэша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0,08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0,90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0,072</w:t>
            </w:r>
          </w:p>
        </w:tc>
      </w:tr>
      <w:tr w:rsidR="000B28DF">
        <w:trPr>
          <w:cantSplit/>
          <w:jc w:val="center"/>
        </w:trPr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</w:pPr>
            <w:r>
              <w:rPr>
                <w:sz w:val="24"/>
                <w:szCs w:val="24"/>
              </w:rPr>
              <w:t>Эффективность 2. Ресурсоёмкость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</w:pPr>
            <w:r>
              <w:rPr>
                <w:sz w:val="24"/>
                <w:szCs w:val="24"/>
              </w:rPr>
              <w:t xml:space="preserve">Работа локальных моделей на CPU без </w:t>
            </w:r>
            <w:r>
              <w:rPr>
                <w:sz w:val="24"/>
                <w:szCs w:val="24"/>
              </w:rPr>
              <w:t>GPU, объём памяти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0,04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0,70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0,028</w:t>
            </w:r>
          </w:p>
        </w:tc>
      </w:tr>
      <w:tr w:rsidR="000B28DF">
        <w:trPr>
          <w:cantSplit/>
          <w:jc w:val="center"/>
        </w:trPr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</w:pPr>
            <w:r>
              <w:rPr>
                <w:sz w:val="24"/>
                <w:szCs w:val="24"/>
              </w:rPr>
              <w:t>Сопровождаемость 1. Периодичность обновлений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</w:pPr>
            <w:r>
              <w:rPr>
                <w:sz w:val="24"/>
                <w:szCs w:val="24"/>
              </w:rPr>
              <w:t>Частота выпуска обновлений, автоматическая доставка новой версии веб-клиента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0,04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0,90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0,036</w:t>
            </w:r>
          </w:p>
        </w:tc>
      </w:tr>
      <w:tr w:rsidR="000B28DF">
        <w:trPr>
          <w:cantSplit/>
          <w:jc w:val="center"/>
        </w:trPr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</w:pPr>
            <w:r>
              <w:rPr>
                <w:sz w:val="24"/>
                <w:szCs w:val="24"/>
              </w:rPr>
              <w:t>Сопровождаемость 2. Анализируемость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</w:pPr>
            <w:r>
              <w:rPr>
                <w:sz w:val="24"/>
                <w:szCs w:val="24"/>
              </w:rPr>
              <w:t>Наличие документации, метрик и журналов для диагностики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0,04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0,80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0,032</w:t>
            </w:r>
          </w:p>
        </w:tc>
      </w:tr>
      <w:tr w:rsidR="000B28DF">
        <w:trPr>
          <w:cantSplit/>
          <w:jc w:val="center"/>
        </w:trPr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</w:pPr>
            <w:r>
              <w:rPr>
                <w:sz w:val="24"/>
                <w:szCs w:val="24"/>
              </w:rPr>
              <w:t>Мобильность 1. Переносимость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</w:pPr>
            <w:r>
              <w:rPr>
                <w:sz w:val="24"/>
                <w:szCs w:val="24"/>
              </w:rPr>
              <w:t>Работа в браузерах и на iOS, развёртывание в контейнерах на любом Linux-сервере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0,05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0,70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0,035</w:t>
            </w:r>
          </w:p>
        </w:tc>
      </w:tr>
      <w:tr w:rsidR="000B28DF">
        <w:trPr>
          <w:cantSplit/>
          <w:jc w:val="center"/>
        </w:trPr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ИТОГО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0B28DF">
            <w:pPr>
              <w:spacing w:line="240" w:lineRule="auto"/>
            </w:pP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1,00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0B28DF" w:rsidRDefault="006233FF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0,818</w:t>
            </w:r>
          </w:p>
        </w:tc>
      </w:tr>
    </w:tbl>
    <w:p w:rsidR="000B28DF" w:rsidRDefault="000B28DF">
      <w:pPr>
        <w:spacing w:line="240" w:lineRule="auto"/>
        <w:jc w:val="both"/>
      </w:pPr>
    </w:p>
    <w:p w:rsidR="000B28DF" w:rsidRDefault="006233FF">
      <w:pPr>
        <w:pStyle w:val="1"/>
        <w:spacing w:before="360"/>
      </w:pPr>
      <w:r>
        <w:t>4 Обоснование оценок</w:t>
      </w:r>
    </w:p>
    <w:p w:rsidR="000B28DF" w:rsidRDefault="006233FF">
      <w:pPr>
        <w:ind w:firstLine="709"/>
        <w:jc w:val="both"/>
      </w:pPr>
      <w:r>
        <w:rPr>
          <w:b/>
          <w:bCs/>
        </w:rPr>
        <w:t xml:space="preserve">– Полнота языков (0,9): </w:t>
      </w:r>
      <w:r>
        <w:t>реестр содержит 247 языков; модульный тест M-03 подтвердил, что маршруты строятся для более чем 1 000 пар длиной не более трёх переходов.</w:t>
      </w:r>
    </w:p>
    <w:p w:rsidR="000B28DF" w:rsidRDefault="006233FF">
      <w:pPr>
        <w:ind w:firstLine="709"/>
        <w:jc w:val="both"/>
      </w:pPr>
      <w:r>
        <w:rPr>
          <w:b/>
          <w:bCs/>
        </w:rPr>
        <w:t xml:space="preserve">– Точность перевода (0,8): </w:t>
      </w:r>
      <w:r>
        <w:t xml:space="preserve">в сравнительной оценке моделей судьёй gpt-oss-120b основные модели </w:t>
      </w:r>
      <w:r>
        <w:t>получили 7–9 баллов из 10 для большинства языков.</w:t>
      </w:r>
    </w:p>
    <w:p w:rsidR="000B28DF" w:rsidRDefault="006233FF">
      <w:pPr>
        <w:ind w:firstLine="709"/>
        <w:jc w:val="both"/>
      </w:pPr>
      <w:r>
        <w:rPr>
          <w:b/>
          <w:bCs/>
        </w:rPr>
        <w:t xml:space="preserve">– Обучение (0,6): </w:t>
      </w:r>
      <w:r>
        <w:t>планировщик FSRS, сессии и импорт колод реализованы в мобильном приложении; связка «перевод → карточка» и веб-версия обучения в разработке.</w:t>
      </w:r>
    </w:p>
    <w:p w:rsidR="000B28DF" w:rsidRDefault="006233FF">
      <w:pPr>
        <w:ind w:firstLine="709"/>
        <w:jc w:val="both"/>
      </w:pPr>
      <w:r>
        <w:rPr>
          <w:b/>
          <w:bCs/>
        </w:rPr>
        <w:t xml:space="preserve">– Отказоустойчивость (0,8): </w:t>
      </w:r>
      <w:r>
        <w:t>реализован каскад дв</w:t>
      </w:r>
      <w:r>
        <w:t>ижков с резервной локальной моделью и признаком degraded; ошибки не кэшируются.</w:t>
      </w:r>
    </w:p>
    <w:p w:rsidR="000B28DF" w:rsidRDefault="006233FF">
      <w:pPr>
        <w:ind w:firstLine="709"/>
        <w:jc w:val="both"/>
      </w:pPr>
      <w:r>
        <w:rPr>
          <w:b/>
          <w:bCs/>
        </w:rPr>
        <w:t xml:space="preserve">– Время отклика (0,9): </w:t>
      </w:r>
      <w:r>
        <w:t>медиана ответа /api/health — 15 мс, загрузка главной страницы — 21 мс (ЛР 5, тесты C-13, C-14).</w:t>
      </w:r>
    </w:p>
    <w:p w:rsidR="000B28DF" w:rsidRDefault="006233FF">
      <w:pPr>
        <w:ind w:firstLine="709"/>
        <w:jc w:val="both"/>
      </w:pPr>
      <w:r>
        <w:rPr>
          <w:b/>
          <w:bCs/>
        </w:rPr>
        <w:t xml:space="preserve">– Ресурсоёмкость (0,7): </w:t>
      </w:r>
      <w:r>
        <w:t>модели работают на CPU, но требую</w:t>
      </w:r>
      <w:r>
        <w:t>т около 6 ГБ памяти; перевод моделью MADLAD занимает около 2 с на фразу.</w:t>
      </w:r>
    </w:p>
    <w:p w:rsidR="000B28DF" w:rsidRDefault="006233FF">
      <w:pPr>
        <w:ind w:firstLine="709"/>
        <w:jc w:val="both"/>
      </w:pPr>
      <w:r>
        <w:rPr>
          <w:b/>
          <w:bCs/>
        </w:rPr>
        <w:t xml:space="preserve">– Переносимость (0,7): </w:t>
      </w:r>
      <w:r>
        <w:t>веб-клиент работает во всех современных браузерах, мобильное приложение пока только для iOS.</w:t>
      </w:r>
    </w:p>
    <w:p w:rsidR="000B28DF" w:rsidRDefault="006233FF">
      <w:pPr>
        <w:pStyle w:val="1"/>
        <w:spacing w:before="360"/>
      </w:pPr>
      <w:r>
        <w:t>Заключение</w:t>
      </w:r>
    </w:p>
    <w:p w:rsidR="000B28DF" w:rsidRDefault="006233FF">
      <w:pPr>
        <w:ind w:firstLine="709"/>
        <w:jc w:val="both"/>
      </w:pPr>
      <w:r>
        <w:t>Комплексный показатель качества K = 0,818, что выше поро</w:t>
      </w:r>
      <w:r>
        <w:t>гового значения 0,7: продукт удовлетворяет требованиям качества. Наиболее слабые места — модуль обучения (не связан с переводом в веб-версии) и переносимость (нет приложения для Android). Эти показатели определяют приоритеты дальнейшей разработки.</w:t>
      </w:r>
    </w:p>
    <w:sectPr w:rsidR="000B28DF">
      <w:footerReference w:type="default" r:id="rId7"/>
      <w:pgSz w:w="11906" w:h="16838"/>
      <w:pgMar w:top="1134" w:right="567" w:bottom="1134" w:left="1701" w:header="708" w:footer="708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6233FF">
      <w:pPr>
        <w:spacing w:line="240" w:lineRule="auto"/>
      </w:pPr>
      <w:r>
        <w:separator/>
      </w:r>
    </w:p>
  </w:endnote>
  <w:endnote w:type="continuationSeparator" w:id="0">
    <w:p w:rsidR="00000000" w:rsidRDefault="006233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28DF" w:rsidRDefault="006233FF">
    <w:pPr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6233FF">
      <w:pPr>
        <w:spacing w:line="240" w:lineRule="auto"/>
      </w:pPr>
      <w:r>
        <w:separator/>
      </w:r>
    </w:p>
  </w:footnote>
  <w:footnote w:type="continuationSeparator" w:id="0">
    <w:p w:rsidR="00000000" w:rsidRDefault="006233F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910717"/>
    <w:multiLevelType w:val="hybridMultilevel"/>
    <w:tmpl w:val="76BA2968"/>
    <w:lvl w:ilvl="0" w:tplc="050A8C66" w:tentative="1">
      <w:start w:val="1"/>
      <w:numFmt w:val="bullet"/>
      <w:lvlText w:val="●"/>
      <w:lvlJc w:val="left"/>
      <w:pPr>
        <w:ind w:left="720" w:hanging="360"/>
      </w:pPr>
    </w:lvl>
    <w:lvl w:ilvl="1" w:tplc="C988FEF2" w:tentative="1">
      <w:start w:val="1"/>
      <w:numFmt w:val="bullet"/>
      <w:lvlText w:val="○"/>
      <w:lvlJc w:val="left"/>
      <w:pPr>
        <w:ind w:left="1440" w:hanging="360"/>
      </w:pPr>
    </w:lvl>
    <w:lvl w:ilvl="2" w:tplc="46604DE4" w:tentative="1">
      <w:start w:val="1"/>
      <w:numFmt w:val="bullet"/>
      <w:lvlText w:val="■"/>
      <w:lvlJc w:val="left"/>
      <w:pPr>
        <w:ind w:left="2160" w:hanging="360"/>
      </w:pPr>
    </w:lvl>
    <w:lvl w:ilvl="3" w:tplc="74D0B76A" w:tentative="1">
      <w:start w:val="1"/>
      <w:numFmt w:val="bullet"/>
      <w:lvlText w:val="●"/>
      <w:lvlJc w:val="left"/>
      <w:pPr>
        <w:ind w:left="2880" w:hanging="360"/>
      </w:pPr>
    </w:lvl>
    <w:lvl w:ilvl="4" w:tplc="044ACF8C" w:tentative="1">
      <w:start w:val="1"/>
      <w:numFmt w:val="bullet"/>
      <w:lvlText w:val="○"/>
      <w:lvlJc w:val="left"/>
      <w:pPr>
        <w:ind w:left="3600" w:hanging="360"/>
      </w:pPr>
    </w:lvl>
    <w:lvl w:ilvl="5" w:tplc="BAA02E3E" w:tentative="1">
      <w:start w:val="1"/>
      <w:numFmt w:val="bullet"/>
      <w:lvlText w:val="■"/>
      <w:lvlJc w:val="left"/>
      <w:pPr>
        <w:ind w:left="4320" w:hanging="360"/>
      </w:pPr>
    </w:lvl>
    <w:lvl w:ilvl="6" w:tplc="57C0C74A" w:tentative="1">
      <w:start w:val="1"/>
      <w:numFmt w:val="bullet"/>
      <w:lvlText w:val="●"/>
      <w:lvlJc w:val="left"/>
      <w:pPr>
        <w:ind w:left="5040" w:hanging="360"/>
      </w:pPr>
    </w:lvl>
    <w:lvl w:ilvl="7" w:tplc="D5966C32" w:tentative="1">
      <w:start w:val="1"/>
      <w:numFmt w:val="bullet"/>
      <w:lvlText w:val="●"/>
      <w:lvlJc w:val="left"/>
      <w:pPr>
        <w:ind w:left="5760" w:hanging="360"/>
      </w:pPr>
    </w:lvl>
    <w:lvl w:ilvl="8" w:tplc="57F49E2A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defaultTabStop w:val="708"/>
  <w:autoHyphenation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8DF"/>
    <w:rsid w:val="000B28DF"/>
    <w:rsid w:val="00623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16DA56D-7BB5-45FF-BD7C-FC0C9BC81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suppressAutoHyphens/>
      <w:spacing w:after="420"/>
      <w:ind w:firstLine="709"/>
      <w:outlineLvl w:val="0"/>
    </w:pPr>
    <w:rPr>
      <w:b/>
      <w:bCs/>
      <w:color w:val="000000"/>
    </w:rPr>
  </w:style>
  <w:style w:type="paragraph" w:styleId="2">
    <w:name w:val="heading 2"/>
    <w:basedOn w:val="a"/>
    <w:next w:val="a"/>
    <w:qFormat/>
    <w:pPr>
      <w:suppressAutoHyphens/>
      <w:outlineLvl w:val="1"/>
    </w:pPr>
    <w:rPr>
      <w:b/>
      <w:bCs/>
      <w:color w:val="000000"/>
    </w:rPr>
  </w:style>
  <w:style w:type="paragraph" w:styleId="3">
    <w:name w:val="heading 3"/>
    <w:basedOn w:val="a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StructHeading">
    <w:name w:val="Struct Heading"/>
    <w:basedOn w:val="1"/>
    <w:next w:val="a"/>
    <w:pPr>
      <w:ind w:firstLine="0"/>
      <w:jc w:val="center"/>
    </w:pPr>
    <w:rPr>
      <w:caps/>
    </w:rPr>
  </w:style>
  <w:style w:type="paragraph" w:styleId="11">
    <w:name w:val="toc 1"/>
    <w:basedOn w:val="a"/>
    <w:next w:val="a"/>
    <w:autoRedefine/>
    <w:uiPriority w:val="39"/>
    <w:semiHidden/>
    <w:unhideWhenUsed/>
    <w:rsid w:val="006233FF"/>
  </w:style>
  <w:style w:type="paragraph" w:styleId="20">
    <w:name w:val="toc 2"/>
    <w:basedOn w:val="a"/>
    <w:next w:val="a"/>
    <w:autoRedefine/>
    <w:uiPriority w:val="39"/>
    <w:semiHidden/>
    <w:unhideWhenUsed/>
    <w:rsid w:val="006233FF"/>
    <w:pPr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666</Words>
  <Characters>4463</Characters>
  <Application>Microsoft Office Word</Application>
  <DocSecurity>0</DocSecurity>
  <Lines>135</Lines>
  <Paragraphs>89</Paragraphs>
  <ScaleCrop>false</ScaleCrop>
  <Company/>
  <LinksUpToDate>false</LinksUpToDate>
  <CharactersWithSpaces>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TransLark</dc:creator>
  <cp:lastModifiedBy>TransLark</cp:lastModifiedBy>
  <cp:revision>2</cp:revision>
  <dcterms:created xsi:type="dcterms:W3CDTF">2026-10-17T16:56:00Z</dcterms:created>
  <dcterms:modified xsi:type="dcterms:W3CDTF">2026-10-17T16:56:00Z</dcterms:modified>
</cp:coreProperties>
</file>