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1244E" w14:textId="506C3DDF" w:rsidR="00C55512" w:rsidRDefault="00497608" w:rsidP="002D6FDF">
      <w:pPr>
        <w:jc w:val="both"/>
        <w:rPr>
          <w:b/>
          <w:bCs/>
          <w:lang w:val="es-ES"/>
        </w:rPr>
      </w:pPr>
      <w:r w:rsidRPr="00497608">
        <w:rPr>
          <w:b/>
          <w:bCs/>
          <w:lang w:val="es-ES"/>
        </w:rPr>
        <w:t>La seguridad en Coahuila</w:t>
      </w:r>
      <w:r>
        <w:rPr>
          <w:b/>
          <w:bCs/>
          <w:lang w:val="es-ES"/>
        </w:rPr>
        <w:t xml:space="preserve"> vista desde los datos oficiales. </w:t>
      </w:r>
    </w:p>
    <w:p w14:paraId="15EF480D" w14:textId="638E75F1" w:rsidR="00497608" w:rsidRDefault="00497608" w:rsidP="002D6FDF">
      <w:pPr>
        <w:jc w:val="both"/>
        <w:rPr>
          <w:b/>
          <w:bCs/>
          <w:lang w:val="es-ES"/>
        </w:rPr>
      </w:pPr>
    </w:p>
    <w:p w14:paraId="3A985889" w14:textId="78DBE312" w:rsidR="009A55CA" w:rsidRDefault="00F54039" w:rsidP="002D6FDF">
      <w:pPr>
        <w:jc w:val="both"/>
        <w:rPr>
          <w:lang w:val="es-ES"/>
        </w:rPr>
      </w:pPr>
      <w:r>
        <w:rPr>
          <w:lang w:val="es-ES"/>
        </w:rPr>
        <w:t xml:space="preserve">Durante la campaña electoral que viene, </w:t>
      </w:r>
      <w:r w:rsidR="009A55CA">
        <w:rPr>
          <w:lang w:val="es-ES"/>
        </w:rPr>
        <w:t>el tema de la</w:t>
      </w:r>
      <w:r>
        <w:rPr>
          <w:lang w:val="es-ES"/>
        </w:rPr>
        <w:t xml:space="preserve"> Seguridad </w:t>
      </w:r>
      <w:r w:rsidR="009A55CA">
        <w:rPr>
          <w:lang w:val="es-ES"/>
        </w:rPr>
        <w:t xml:space="preserve">va a </w:t>
      </w:r>
      <w:r w:rsidR="009A55CA" w:rsidRPr="002D6FDF">
        <w:rPr>
          <w:b/>
          <w:bCs/>
          <w:lang w:val="es-ES"/>
        </w:rPr>
        <w:t>ser muy relevante para la decisión del voto</w:t>
      </w:r>
      <w:r w:rsidR="009A55CA">
        <w:rPr>
          <w:lang w:val="es-ES"/>
        </w:rPr>
        <w:t xml:space="preserve"> de las y los ciudadanos Coahuilenses; tanto porque uno de los posibles candidatos ha trabajado como subsecretario de seguridad, como por el hecho de que </w:t>
      </w:r>
      <w:r w:rsidR="002D6FDF">
        <w:rPr>
          <w:lang w:val="es-ES"/>
        </w:rPr>
        <w:t>los últimos gobiernos</w:t>
      </w:r>
      <w:r w:rsidR="009A55CA">
        <w:rPr>
          <w:lang w:val="es-ES"/>
        </w:rPr>
        <w:t xml:space="preserve"> puede</w:t>
      </w:r>
      <w:r w:rsidR="002D6FDF">
        <w:rPr>
          <w:lang w:val="es-ES"/>
        </w:rPr>
        <w:t>n</w:t>
      </w:r>
      <w:r w:rsidR="009A55CA">
        <w:rPr>
          <w:lang w:val="es-ES"/>
        </w:rPr>
        <w:t xml:space="preserve"> presumir un buen desempeño en este tema. </w:t>
      </w:r>
    </w:p>
    <w:p w14:paraId="686F5E89" w14:textId="0BE14EF0" w:rsidR="009A55CA" w:rsidRDefault="009A55CA" w:rsidP="002D6FDF">
      <w:pPr>
        <w:jc w:val="both"/>
        <w:rPr>
          <w:lang w:val="es-ES"/>
        </w:rPr>
      </w:pPr>
    </w:p>
    <w:p w14:paraId="5D9E0D79" w14:textId="3E9ED9B1" w:rsidR="00893571" w:rsidRDefault="00893571" w:rsidP="002D6FDF">
      <w:pPr>
        <w:jc w:val="both"/>
        <w:rPr>
          <w:lang w:val="es-ES"/>
        </w:rPr>
      </w:pPr>
      <w:r>
        <w:rPr>
          <w:lang w:val="es-ES"/>
        </w:rPr>
        <w:t xml:space="preserve">En la presente columna pretendo mostrar algunas visualizaciones de la evolución de la entidad en indicadores de seguridad en los últimos años. </w:t>
      </w:r>
    </w:p>
    <w:p w14:paraId="773F4FA7" w14:textId="6F122E78" w:rsidR="00893571" w:rsidRDefault="00893571" w:rsidP="002D6FDF">
      <w:pPr>
        <w:jc w:val="both"/>
        <w:rPr>
          <w:lang w:val="es-ES"/>
        </w:rPr>
      </w:pPr>
    </w:p>
    <w:p w14:paraId="12336321" w14:textId="02CA4B1A" w:rsidR="00893571" w:rsidRDefault="00893571" w:rsidP="002D6FDF">
      <w:pPr>
        <w:jc w:val="both"/>
        <w:rPr>
          <w:b/>
          <w:bCs/>
          <w:i/>
          <w:iCs/>
          <w:lang w:val="es-ES"/>
        </w:rPr>
      </w:pPr>
      <w:r w:rsidRPr="002D6FDF">
        <w:rPr>
          <w:b/>
          <w:bCs/>
          <w:i/>
          <w:iCs/>
          <w:lang w:val="es-ES"/>
        </w:rPr>
        <w:t># Homicidios, el periodo violento entre 2010 y 2014</w:t>
      </w:r>
      <w:r w:rsidR="002D6FDF">
        <w:rPr>
          <w:b/>
          <w:bCs/>
          <w:i/>
          <w:iCs/>
          <w:lang w:val="es-ES"/>
        </w:rPr>
        <w:t xml:space="preserve"> y su contraste con el periodo actual</w:t>
      </w:r>
    </w:p>
    <w:p w14:paraId="25AFE449" w14:textId="77777777" w:rsidR="002D6FDF" w:rsidRPr="002D6FDF" w:rsidRDefault="002D6FDF" w:rsidP="002D6FDF">
      <w:pPr>
        <w:jc w:val="both"/>
        <w:rPr>
          <w:b/>
          <w:bCs/>
          <w:i/>
          <w:iCs/>
          <w:lang w:val="es-ES"/>
        </w:rPr>
      </w:pPr>
    </w:p>
    <w:p w14:paraId="1727A2D0" w14:textId="1FC15054" w:rsidR="009A55CA" w:rsidRDefault="009A55CA" w:rsidP="002D6FDF">
      <w:pPr>
        <w:jc w:val="both"/>
        <w:rPr>
          <w:lang w:val="es-ES"/>
        </w:rPr>
      </w:pPr>
      <w:r>
        <w:rPr>
          <w:lang w:val="es-ES"/>
        </w:rPr>
        <w:t xml:space="preserve">En el delito de homicidios, según los datos de INEGI, la entidad sufrió una situación de inseguridad sin precedentes entre el 2010 y el 2014, siendo el 2012 el año con mayor número de fallecimientos por asesinatos. Este es un periodo ampliamente recordado con terror por parte de los Coahuilenses que sufrieron en carne propia o en algún conocido los estragos de la inseguridad en la entidad. </w:t>
      </w:r>
    </w:p>
    <w:p w14:paraId="0D9460B5" w14:textId="104EADC3" w:rsidR="00B14F3B" w:rsidRDefault="00B14F3B" w:rsidP="002D6FDF">
      <w:pPr>
        <w:jc w:val="both"/>
        <w:rPr>
          <w:lang w:val="es-ES"/>
        </w:rPr>
      </w:pPr>
    </w:p>
    <w:p w14:paraId="356CD98C" w14:textId="77E6EBDD" w:rsidR="00B14F3B" w:rsidRDefault="009A55CA" w:rsidP="002D6FDF">
      <w:pPr>
        <w:jc w:val="both"/>
        <w:rPr>
          <w:lang w:val="es-ES"/>
        </w:rPr>
      </w:pPr>
      <w:r>
        <w:rPr>
          <w:noProof/>
          <w:lang w:val="es-ES"/>
        </w:rPr>
        <w:lastRenderedPageBreak/>
        <w:drawing>
          <wp:inline distT="0" distB="0" distL="0" distR="0" wp14:anchorId="70F36F40" wp14:editId="7038C1D3">
            <wp:extent cx="4813824" cy="561612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60100" cy="5670116"/>
                    </a:xfrm>
                    <a:prstGeom prst="rect">
                      <a:avLst/>
                    </a:prstGeom>
                  </pic:spPr>
                </pic:pic>
              </a:graphicData>
            </a:graphic>
          </wp:inline>
        </w:drawing>
      </w:r>
    </w:p>
    <w:p w14:paraId="641FD3CC" w14:textId="77777777" w:rsidR="009A55CA" w:rsidRDefault="009A55CA" w:rsidP="002D6FDF">
      <w:pPr>
        <w:jc w:val="both"/>
        <w:rPr>
          <w:lang w:val="es-ES"/>
        </w:rPr>
      </w:pPr>
    </w:p>
    <w:p w14:paraId="0168BE3B" w14:textId="593996E1" w:rsidR="00C325E5" w:rsidRDefault="009A55CA" w:rsidP="002D6FDF">
      <w:pPr>
        <w:jc w:val="both"/>
        <w:rPr>
          <w:lang w:val="es-ES"/>
        </w:rPr>
      </w:pPr>
      <w:r>
        <w:rPr>
          <w:lang w:val="es-ES"/>
        </w:rPr>
        <w:t xml:space="preserve">A partir de este punto, la </w:t>
      </w:r>
      <w:r w:rsidR="00C245E7">
        <w:rPr>
          <w:lang w:val="es-ES"/>
        </w:rPr>
        <w:t xml:space="preserve">intensidad de los homicidios disminuyó hasta llegar a la cifra reportada de 74 homicidios en 2021. Si dividimos esta incidencia entre el total de la población de cada entidad, Coahuila es la segunda entidad con la tasa de homicidios </w:t>
      </w:r>
      <w:r w:rsidR="009823F1">
        <w:rPr>
          <w:lang w:val="es-ES"/>
        </w:rPr>
        <w:t xml:space="preserve">más baja, solo </w:t>
      </w:r>
      <w:r w:rsidR="002D6FDF">
        <w:rPr>
          <w:lang w:val="es-ES"/>
        </w:rPr>
        <w:t xml:space="preserve">por </w:t>
      </w:r>
      <w:r w:rsidR="009823F1">
        <w:rPr>
          <w:lang w:val="es-ES"/>
        </w:rPr>
        <w:t>detrás del estado de Yucatán</w:t>
      </w:r>
      <w:r w:rsidR="002D6FDF">
        <w:rPr>
          <w:lang w:val="es-ES"/>
        </w:rPr>
        <w:t xml:space="preserve"> (el cual ha sido el estado con la tasa más baja durante la última década).</w:t>
      </w:r>
    </w:p>
    <w:p w14:paraId="69BC1C22" w14:textId="57AE590C" w:rsidR="00590BA0" w:rsidRDefault="00590BA0" w:rsidP="002D6FDF">
      <w:pPr>
        <w:jc w:val="both"/>
        <w:rPr>
          <w:lang w:val="es-ES"/>
        </w:rPr>
      </w:pPr>
    </w:p>
    <w:p w14:paraId="2FA8B241" w14:textId="77777777" w:rsidR="00590BA0" w:rsidRDefault="00590BA0" w:rsidP="002D6FDF">
      <w:pPr>
        <w:jc w:val="both"/>
        <w:rPr>
          <w:lang w:val="es-ES"/>
        </w:rPr>
      </w:pPr>
    </w:p>
    <w:p w14:paraId="4CBFE981" w14:textId="3BADAA73" w:rsidR="009823F1" w:rsidRDefault="009823F1" w:rsidP="002D6FDF">
      <w:pPr>
        <w:jc w:val="both"/>
        <w:rPr>
          <w:lang w:val="es-ES"/>
        </w:rPr>
      </w:pPr>
      <w:r>
        <w:rPr>
          <w:noProof/>
          <w:lang w:val="es-ES"/>
        </w:rPr>
        <w:lastRenderedPageBreak/>
        <w:drawing>
          <wp:inline distT="0" distB="0" distL="0" distR="0" wp14:anchorId="1070C81C" wp14:editId="74162F32">
            <wp:extent cx="4469440" cy="5214347"/>
            <wp:effectExtent l="0" t="0" r="127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71744" cy="5217035"/>
                    </a:xfrm>
                    <a:prstGeom prst="rect">
                      <a:avLst/>
                    </a:prstGeom>
                  </pic:spPr>
                </pic:pic>
              </a:graphicData>
            </a:graphic>
          </wp:inline>
        </w:drawing>
      </w:r>
    </w:p>
    <w:p w14:paraId="58FC3DBA" w14:textId="569B0606" w:rsidR="00C245E7" w:rsidRDefault="00C245E7" w:rsidP="002D6FDF">
      <w:pPr>
        <w:jc w:val="both"/>
        <w:rPr>
          <w:lang w:val="es-ES"/>
        </w:rPr>
      </w:pPr>
    </w:p>
    <w:p w14:paraId="413C0E31" w14:textId="266B56B6" w:rsidR="00C325E5" w:rsidRDefault="00C325E5" w:rsidP="002D6FDF">
      <w:pPr>
        <w:jc w:val="both"/>
        <w:rPr>
          <w:lang w:val="es-ES"/>
        </w:rPr>
      </w:pPr>
      <w:r>
        <w:rPr>
          <w:lang w:val="es-ES"/>
        </w:rPr>
        <w:t xml:space="preserve">El periodo de inseguridad entre 2011 y 2013 fue tan severo que Coahuila se llegó a colocar durante estos tres años en el top-ten de las entidades más violentas del país; sin embargo, a partir del 2014 la entidad comenzó un periodo de recuperación que lo harían alcanzar </w:t>
      </w:r>
      <w:r w:rsidR="000A46C9">
        <w:rPr>
          <w:lang w:val="es-ES"/>
        </w:rPr>
        <w:t>el</w:t>
      </w:r>
      <w:r>
        <w:rPr>
          <w:lang w:val="es-ES"/>
        </w:rPr>
        <w:t xml:space="preserve"> segundo lugar nacional </w:t>
      </w:r>
      <w:r w:rsidR="000A46C9">
        <w:rPr>
          <w:lang w:val="es-ES"/>
        </w:rPr>
        <w:t xml:space="preserve">con el valor más bajo </w:t>
      </w:r>
      <w:r>
        <w:rPr>
          <w:lang w:val="es-ES"/>
        </w:rPr>
        <w:t>en el transcurso de 7 años.</w:t>
      </w:r>
    </w:p>
    <w:p w14:paraId="7152AE7A" w14:textId="7DCCAB3E" w:rsidR="00F54039" w:rsidRDefault="0001152A" w:rsidP="002D6FDF">
      <w:pPr>
        <w:jc w:val="both"/>
        <w:rPr>
          <w:lang w:val="es-ES"/>
        </w:rPr>
      </w:pPr>
      <w:r>
        <w:rPr>
          <w:noProof/>
          <w:lang w:val="es-ES"/>
        </w:rPr>
        <w:lastRenderedPageBreak/>
        <w:drawing>
          <wp:inline distT="0" distB="0" distL="0" distR="0" wp14:anchorId="4F577826" wp14:editId="4CDAB7DE">
            <wp:extent cx="5612130" cy="521144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5211445"/>
                    </a:xfrm>
                    <a:prstGeom prst="rect">
                      <a:avLst/>
                    </a:prstGeom>
                  </pic:spPr>
                </pic:pic>
              </a:graphicData>
            </a:graphic>
          </wp:inline>
        </w:drawing>
      </w:r>
    </w:p>
    <w:p w14:paraId="2FD2636F" w14:textId="5EA8BF3B" w:rsidR="0001152A" w:rsidRDefault="0001152A" w:rsidP="002D6FDF">
      <w:pPr>
        <w:jc w:val="both"/>
        <w:rPr>
          <w:lang w:val="es-ES"/>
        </w:rPr>
      </w:pPr>
    </w:p>
    <w:p w14:paraId="1D4F1888" w14:textId="1CF45DF2" w:rsidR="003E28A6" w:rsidRDefault="0001152A" w:rsidP="002D6FDF">
      <w:pPr>
        <w:jc w:val="both"/>
        <w:rPr>
          <w:lang w:val="es-ES"/>
        </w:rPr>
      </w:pPr>
      <w:r>
        <w:rPr>
          <w:lang w:val="es-ES"/>
        </w:rPr>
        <w:t xml:space="preserve">A nivel municipal, </w:t>
      </w:r>
      <w:r w:rsidR="00893571">
        <w:rPr>
          <w:lang w:val="es-ES"/>
        </w:rPr>
        <w:t>los municipios de mayor población muestran el mismo comportamiento de violencia en el periodo entre 2010 y 2014, con la excepción de Saltillo, donde las cifras más altas vienen al finalizar dicho periodo de tiempo</w:t>
      </w:r>
      <w:r w:rsidR="000A46C9">
        <w:rPr>
          <w:lang w:val="es-ES"/>
        </w:rPr>
        <w:t xml:space="preserve">. </w:t>
      </w:r>
      <w:r w:rsidR="001654A2">
        <w:rPr>
          <w:lang w:val="es-ES"/>
        </w:rPr>
        <w:t xml:space="preserve">La ocurrencia de homicidios en la última década ha ocurrido principalmente en el sur de la entidad, </w:t>
      </w:r>
      <w:r w:rsidR="003E28A6">
        <w:rPr>
          <w:lang w:val="es-ES"/>
        </w:rPr>
        <w:t xml:space="preserve">donde también se concentra más la población. </w:t>
      </w:r>
    </w:p>
    <w:p w14:paraId="1F47D9E3" w14:textId="74F8B2AF" w:rsidR="0001152A" w:rsidRDefault="0001152A" w:rsidP="002D6FDF">
      <w:pPr>
        <w:jc w:val="both"/>
        <w:rPr>
          <w:lang w:val="es-ES"/>
        </w:rPr>
      </w:pPr>
    </w:p>
    <w:p w14:paraId="6A8AF2C0" w14:textId="45E5E325" w:rsidR="005765A5" w:rsidRDefault="00654F39" w:rsidP="002D6FDF">
      <w:pPr>
        <w:jc w:val="both"/>
        <w:rPr>
          <w:lang w:val="es-ES"/>
        </w:rPr>
      </w:pPr>
      <w:r>
        <w:rPr>
          <w:noProof/>
          <w:lang w:val="es-ES"/>
        </w:rPr>
        <w:lastRenderedPageBreak/>
        <w:drawing>
          <wp:inline distT="0" distB="0" distL="0" distR="0" wp14:anchorId="0F618F7D" wp14:editId="17F73B9F">
            <wp:extent cx="5612130" cy="6043930"/>
            <wp:effectExtent l="0" t="0" r="127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6043930"/>
                    </a:xfrm>
                    <a:prstGeom prst="rect">
                      <a:avLst/>
                    </a:prstGeom>
                  </pic:spPr>
                </pic:pic>
              </a:graphicData>
            </a:graphic>
          </wp:inline>
        </w:drawing>
      </w:r>
    </w:p>
    <w:p w14:paraId="72F13CC1" w14:textId="03EBCE5A" w:rsidR="005765A5" w:rsidRDefault="005765A5" w:rsidP="002D6FDF">
      <w:pPr>
        <w:jc w:val="both"/>
        <w:rPr>
          <w:lang w:val="es-ES"/>
        </w:rPr>
      </w:pPr>
    </w:p>
    <w:p w14:paraId="08580008" w14:textId="5C8A09D5" w:rsidR="002D6FDF" w:rsidRDefault="002D6FDF" w:rsidP="002D6FDF">
      <w:pPr>
        <w:jc w:val="both"/>
        <w:rPr>
          <w:lang w:val="es-ES"/>
        </w:rPr>
      </w:pPr>
      <w:r>
        <w:rPr>
          <w:noProof/>
          <w:lang w:val="es-ES"/>
        </w:rPr>
        <w:lastRenderedPageBreak/>
        <w:drawing>
          <wp:inline distT="0" distB="0" distL="0" distR="0" wp14:anchorId="36A8105D" wp14:editId="1E262AAD">
            <wp:extent cx="5612130" cy="701548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7015480"/>
                    </a:xfrm>
                    <a:prstGeom prst="rect">
                      <a:avLst/>
                    </a:prstGeom>
                  </pic:spPr>
                </pic:pic>
              </a:graphicData>
            </a:graphic>
          </wp:inline>
        </w:drawing>
      </w:r>
    </w:p>
    <w:p w14:paraId="14CF9220" w14:textId="77777777" w:rsidR="00893571" w:rsidRDefault="00893571" w:rsidP="002D6FDF">
      <w:pPr>
        <w:jc w:val="both"/>
        <w:rPr>
          <w:lang w:val="es-ES"/>
        </w:rPr>
      </w:pPr>
    </w:p>
    <w:p w14:paraId="4553A7B1" w14:textId="50126400" w:rsidR="00F54039" w:rsidRPr="00F54039" w:rsidRDefault="00F54039" w:rsidP="002D6FDF">
      <w:pPr>
        <w:jc w:val="both"/>
        <w:rPr>
          <w:b/>
          <w:bCs/>
          <w:lang w:val="es-ES"/>
        </w:rPr>
      </w:pPr>
      <w:r w:rsidRPr="00F54039">
        <w:rPr>
          <w:b/>
          <w:bCs/>
          <w:lang w:val="es-ES"/>
        </w:rPr>
        <w:t xml:space="preserve"># </w:t>
      </w:r>
      <w:r w:rsidR="002D6FDF">
        <w:rPr>
          <w:b/>
          <w:bCs/>
          <w:lang w:val="es-ES"/>
        </w:rPr>
        <w:t xml:space="preserve">¿Cómo perciben la seguridad los Coahuilenses? </w:t>
      </w:r>
    </w:p>
    <w:p w14:paraId="35EB2BF3" w14:textId="0A0BC084" w:rsidR="00497608" w:rsidRDefault="00497608" w:rsidP="002D6FDF">
      <w:pPr>
        <w:jc w:val="both"/>
        <w:rPr>
          <w:lang w:val="es-ES"/>
        </w:rPr>
      </w:pPr>
    </w:p>
    <w:p w14:paraId="40BCE5A5" w14:textId="488F13AF" w:rsidR="00F3525D" w:rsidRDefault="00F3525D" w:rsidP="002D6FDF">
      <w:pPr>
        <w:jc w:val="both"/>
        <w:rPr>
          <w:lang w:val="es-ES"/>
        </w:rPr>
      </w:pPr>
      <w:r>
        <w:rPr>
          <w:lang w:val="es-ES"/>
        </w:rPr>
        <w:t xml:space="preserve">En cuestión de percepción de la seguridad, la entidad se ha encontrado </w:t>
      </w:r>
      <w:r w:rsidRPr="002D6FDF">
        <w:rPr>
          <w:b/>
          <w:bCs/>
          <w:lang w:val="es-ES"/>
        </w:rPr>
        <w:t>consistentemente en el top-10 de mayor percepción de seguridad</w:t>
      </w:r>
      <w:r>
        <w:rPr>
          <w:lang w:val="es-ES"/>
        </w:rPr>
        <w:t>.</w:t>
      </w:r>
      <w:r w:rsidR="00A434D3">
        <w:rPr>
          <w:lang w:val="es-ES"/>
        </w:rPr>
        <w:t xml:space="preserve"> Entre 2019 y 2021, los coahuilenses han mejorado su percepción de la seguridad tanto para el país como para el estado, sin </w:t>
      </w:r>
      <w:r w:rsidR="00A434D3">
        <w:rPr>
          <w:lang w:val="es-ES"/>
        </w:rPr>
        <w:lastRenderedPageBreak/>
        <w:t xml:space="preserve">embargo, </w:t>
      </w:r>
      <w:r w:rsidR="0028490F">
        <w:rPr>
          <w:lang w:val="es-ES"/>
        </w:rPr>
        <w:t xml:space="preserve">por razones que los datos no nos pueden explicar, </w:t>
      </w:r>
      <w:r w:rsidR="00A434D3">
        <w:rPr>
          <w:lang w:val="es-ES"/>
        </w:rPr>
        <w:t xml:space="preserve">la perspectiva de la seguridad a futuro si es pesimista </w:t>
      </w:r>
      <w:r w:rsidR="00456291">
        <w:rPr>
          <w:lang w:val="es-ES"/>
        </w:rPr>
        <w:t>para los años que vienen</w:t>
      </w:r>
      <w:r w:rsidR="00A434D3">
        <w:rPr>
          <w:lang w:val="es-ES"/>
        </w:rPr>
        <w:t xml:space="preserve">. </w:t>
      </w:r>
    </w:p>
    <w:p w14:paraId="5E0864B5" w14:textId="030C55B0" w:rsidR="00F3525D" w:rsidRDefault="00F3525D" w:rsidP="002D6FDF">
      <w:pPr>
        <w:jc w:val="both"/>
        <w:rPr>
          <w:lang w:val="es-ES"/>
        </w:rPr>
      </w:pPr>
    </w:p>
    <w:tbl>
      <w:tblPr>
        <w:tblStyle w:val="Tablaconcuadrcula1clara-nfasis1"/>
        <w:tblW w:w="0" w:type="auto"/>
        <w:tblLayout w:type="fixed"/>
        <w:tblLook w:val="04A0" w:firstRow="1" w:lastRow="0" w:firstColumn="1" w:lastColumn="0" w:noHBand="0" w:noVBand="1"/>
      </w:tblPr>
      <w:tblGrid>
        <w:gridCol w:w="2698"/>
        <w:gridCol w:w="1405"/>
        <w:gridCol w:w="1172"/>
        <w:gridCol w:w="1407"/>
        <w:gridCol w:w="1024"/>
        <w:gridCol w:w="1122"/>
      </w:tblGrid>
      <w:tr w:rsidR="00A434D3" w:rsidRPr="00F3525D" w14:paraId="0C356B80" w14:textId="77777777" w:rsidTr="00A434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8" w:type="dxa"/>
            <w:noWrap/>
            <w:hideMark/>
          </w:tcPr>
          <w:p w14:paraId="5109E42E" w14:textId="77777777" w:rsidR="00F3525D" w:rsidRPr="00F3525D" w:rsidRDefault="00F3525D" w:rsidP="002D6FDF">
            <w:pPr>
              <w:jc w:val="both"/>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Concepto</w:t>
            </w:r>
          </w:p>
        </w:tc>
        <w:tc>
          <w:tcPr>
            <w:tcW w:w="1405" w:type="dxa"/>
            <w:shd w:val="clear" w:color="auto" w:fill="FBE4D5" w:themeFill="accent2" w:themeFillTint="33"/>
            <w:noWrap/>
            <w:hideMark/>
          </w:tcPr>
          <w:p w14:paraId="6D5451F5" w14:textId="77777777" w:rsidR="00F3525D" w:rsidRPr="00F3525D" w:rsidRDefault="00F3525D" w:rsidP="002D6F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 en 2019</w:t>
            </w:r>
          </w:p>
        </w:tc>
        <w:tc>
          <w:tcPr>
            <w:tcW w:w="1172" w:type="dxa"/>
            <w:shd w:val="clear" w:color="auto" w:fill="FBE4D5" w:themeFill="accent2" w:themeFillTint="33"/>
            <w:noWrap/>
            <w:hideMark/>
          </w:tcPr>
          <w:p w14:paraId="56D90A48" w14:textId="77777777" w:rsidR="00F3525D" w:rsidRPr="00F3525D" w:rsidRDefault="00F3525D" w:rsidP="002D6F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Ranking en 2019</w:t>
            </w:r>
          </w:p>
        </w:tc>
        <w:tc>
          <w:tcPr>
            <w:tcW w:w="1407" w:type="dxa"/>
            <w:shd w:val="clear" w:color="auto" w:fill="D9E2F3" w:themeFill="accent1" w:themeFillTint="33"/>
            <w:noWrap/>
            <w:hideMark/>
          </w:tcPr>
          <w:p w14:paraId="5F6C43BF" w14:textId="77777777" w:rsidR="00F3525D" w:rsidRPr="00F3525D" w:rsidRDefault="00F3525D" w:rsidP="002D6F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 en 2021</w:t>
            </w:r>
          </w:p>
        </w:tc>
        <w:tc>
          <w:tcPr>
            <w:tcW w:w="1024" w:type="dxa"/>
            <w:shd w:val="clear" w:color="auto" w:fill="D9E2F3" w:themeFill="accent1" w:themeFillTint="33"/>
            <w:noWrap/>
            <w:hideMark/>
          </w:tcPr>
          <w:p w14:paraId="576FDD30" w14:textId="77777777" w:rsidR="00F3525D" w:rsidRPr="00F3525D" w:rsidRDefault="00F3525D" w:rsidP="002D6F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Ranking en 2021</w:t>
            </w:r>
          </w:p>
        </w:tc>
        <w:tc>
          <w:tcPr>
            <w:tcW w:w="1122" w:type="dxa"/>
            <w:noWrap/>
            <w:hideMark/>
          </w:tcPr>
          <w:p w14:paraId="79855C5E" w14:textId="7FCD9A86" w:rsidR="00F3525D" w:rsidRPr="00F3525D" w:rsidRDefault="002D6FDF" w:rsidP="002D6F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Aumento</w:t>
            </w:r>
          </w:p>
        </w:tc>
      </w:tr>
      <w:tr w:rsidR="00A434D3" w:rsidRPr="00A434D3" w14:paraId="65C47C6A" w14:textId="77777777" w:rsidTr="00A434D3">
        <w:trPr>
          <w:trHeight w:val="300"/>
        </w:trPr>
        <w:tc>
          <w:tcPr>
            <w:cnfStyle w:val="001000000000" w:firstRow="0" w:lastRow="0" w:firstColumn="1" w:lastColumn="0" w:oddVBand="0" w:evenVBand="0" w:oddHBand="0" w:evenHBand="0" w:firstRowFirstColumn="0" w:firstRowLastColumn="0" w:lastRowFirstColumn="0" w:lastRowLastColumn="0"/>
            <w:tcW w:w="2698" w:type="dxa"/>
            <w:noWrap/>
            <w:hideMark/>
          </w:tcPr>
          <w:p w14:paraId="4C48C843" w14:textId="77777777" w:rsidR="00F3525D" w:rsidRPr="00F3525D" w:rsidRDefault="00F3525D" w:rsidP="002D6FDF">
            <w:pPr>
              <w:jc w:val="both"/>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Percepción de seguridad en la colonia o localidad</w:t>
            </w:r>
          </w:p>
        </w:tc>
        <w:tc>
          <w:tcPr>
            <w:tcW w:w="1405" w:type="dxa"/>
            <w:shd w:val="clear" w:color="auto" w:fill="FBE4D5" w:themeFill="accent2" w:themeFillTint="33"/>
            <w:noWrap/>
            <w:hideMark/>
          </w:tcPr>
          <w:p w14:paraId="33A19482"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68.0</w:t>
            </w:r>
          </w:p>
        </w:tc>
        <w:tc>
          <w:tcPr>
            <w:tcW w:w="1172" w:type="dxa"/>
            <w:shd w:val="clear" w:color="auto" w:fill="FBE4D5" w:themeFill="accent2" w:themeFillTint="33"/>
            <w:noWrap/>
            <w:hideMark/>
          </w:tcPr>
          <w:p w14:paraId="58CB1FBC"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4</w:t>
            </w:r>
          </w:p>
        </w:tc>
        <w:tc>
          <w:tcPr>
            <w:tcW w:w="1407" w:type="dxa"/>
            <w:shd w:val="clear" w:color="auto" w:fill="D9E2F3" w:themeFill="accent1" w:themeFillTint="33"/>
            <w:noWrap/>
            <w:hideMark/>
          </w:tcPr>
          <w:p w14:paraId="038D4757"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69.9</w:t>
            </w:r>
          </w:p>
        </w:tc>
        <w:tc>
          <w:tcPr>
            <w:tcW w:w="1024" w:type="dxa"/>
            <w:shd w:val="clear" w:color="auto" w:fill="D9E2F3" w:themeFill="accent1" w:themeFillTint="33"/>
            <w:noWrap/>
            <w:hideMark/>
          </w:tcPr>
          <w:p w14:paraId="5DF6987D"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8</w:t>
            </w:r>
          </w:p>
        </w:tc>
        <w:tc>
          <w:tcPr>
            <w:tcW w:w="1122" w:type="dxa"/>
            <w:noWrap/>
            <w:hideMark/>
          </w:tcPr>
          <w:p w14:paraId="5844E2FA" w14:textId="1AE620E1"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2060"/>
                <w:sz w:val="20"/>
                <w:szCs w:val="20"/>
                <w:lang w:eastAsia="es-MX"/>
              </w:rPr>
            </w:pPr>
            <w:r w:rsidRPr="00F3525D">
              <w:rPr>
                <w:rFonts w:ascii="Calibri" w:eastAsia="Times New Roman" w:hAnsi="Calibri" w:cs="Calibri"/>
                <w:color w:val="002060"/>
                <w:sz w:val="20"/>
                <w:szCs w:val="20"/>
                <w:lang w:eastAsia="es-MX"/>
              </w:rPr>
              <w:t>1.8</w:t>
            </w:r>
          </w:p>
        </w:tc>
      </w:tr>
      <w:tr w:rsidR="00A434D3" w:rsidRPr="00A434D3" w14:paraId="114DD627" w14:textId="77777777" w:rsidTr="00A434D3">
        <w:trPr>
          <w:trHeight w:val="300"/>
        </w:trPr>
        <w:tc>
          <w:tcPr>
            <w:cnfStyle w:val="001000000000" w:firstRow="0" w:lastRow="0" w:firstColumn="1" w:lastColumn="0" w:oddVBand="0" w:evenVBand="0" w:oddHBand="0" w:evenHBand="0" w:firstRowFirstColumn="0" w:firstRowLastColumn="0" w:lastRowFirstColumn="0" w:lastRowLastColumn="0"/>
            <w:tcW w:w="2698" w:type="dxa"/>
            <w:noWrap/>
            <w:hideMark/>
          </w:tcPr>
          <w:p w14:paraId="1120AEB6" w14:textId="6BEDF481" w:rsidR="00F3525D" w:rsidRPr="00F3525D" w:rsidRDefault="00F3525D" w:rsidP="002D6FDF">
            <w:pPr>
              <w:jc w:val="both"/>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 xml:space="preserve">Percepción </w:t>
            </w:r>
            <w:r w:rsidR="00A434D3">
              <w:rPr>
                <w:rFonts w:ascii="Calibri" w:eastAsia="Times New Roman" w:hAnsi="Calibri" w:cs="Calibri"/>
                <w:color w:val="000000"/>
                <w:sz w:val="20"/>
                <w:szCs w:val="20"/>
                <w:lang w:eastAsia="es-MX"/>
              </w:rPr>
              <w:t xml:space="preserve">de </w:t>
            </w:r>
            <w:r w:rsidRPr="00F3525D">
              <w:rPr>
                <w:rFonts w:ascii="Calibri" w:eastAsia="Times New Roman" w:hAnsi="Calibri" w:cs="Calibri"/>
                <w:color w:val="000000"/>
                <w:sz w:val="20"/>
                <w:szCs w:val="20"/>
                <w:lang w:eastAsia="es-MX"/>
              </w:rPr>
              <w:t>seguridad en la entidad</w:t>
            </w:r>
          </w:p>
        </w:tc>
        <w:tc>
          <w:tcPr>
            <w:tcW w:w="1405" w:type="dxa"/>
            <w:shd w:val="clear" w:color="auto" w:fill="FBE4D5" w:themeFill="accent2" w:themeFillTint="33"/>
            <w:noWrap/>
            <w:hideMark/>
          </w:tcPr>
          <w:p w14:paraId="4B001FF0"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40.7</w:t>
            </w:r>
          </w:p>
        </w:tc>
        <w:tc>
          <w:tcPr>
            <w:tcW w:w="1172" w:type="dxa"/>
            <w:shd w:val="clear" w:color="auto" w:fill="FBE4D5" w:themeFill="accent2" w:themeFillTint="33"/>
            <w:noWrap/>
            <w:hideMark/>
          </w:tcPr>
          <w:p w14:paraId="5ED6062A"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4</w:t>
            </w:r>
          </w:p>
        </w:tc>
        <w:tc>
          <w:tcPr>
            <w:tcW w:w="1407" w:type="dxa"/>
            <w:shd w:val="clear" w:color="auto" w:fill="D9E2F3" w:themeFill="accent1" w:themeFillTint="33"/>
            <w:noWrap/>
            <w:hideMark/>
          </w:tcPr>
          <w:p w14:paraId="53B75A24"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42.3</w:t>
            </w:r>
          </w:p>
        </w:tc>
        <w:tc>
          <w:tcPr>
            <w:tcW w:w="1024" w:type="dxa"/>
            <w:shd w:val="clear" w:color="auto" w:fill="D9E2F3" w:themeFill="accent1" w:themeFillTint="33"/>
            <w:noWrap/>
            <w:hideMark/>
          </w:tcPr>
          <w:p w14:paraId="3C09EB99"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6</w:t>
            </w:r>
          </w:p>
        </w:tc>
        <w:tc>
          <w:tcPr>
            <w:tcW w:w="1122" w:type="dxa"/>
            <w:noWrap/>
            <w:hideMark/>
          </w:tcPr>
          <w:p w14:paraId="63A02239" w14:textId="4FDAAA56"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2060"/>
                <w:sz w:val="20"/>
                <w:szCs w:val="20"/>
                <w:lang w:eastAsia="es-MX"/>
              </w:rPr>
            </w:pPr>
            <w:r w:rsidRPr="00F3525D">
              <w:rPr>
                <w:rFonts w:ascii="Calibri" w:eastAsia="Times New Roman" w:hAnsi="Calibri" w:cs="Calibri"/>
                <w:color w:val="002060"/>
                <w:sz w:val="20"/>
                <w:szCs w:val="20"/>
                <w:lang w:eastAsia="es-MX"/>
              </w:rPr>
              <w:t>1.5</w:t>
            </w:r>
          </w:p>
        </w:tc>
      </w:tr>
      <w:tr w:rsidR="00A434D3" w:rsidRPr="00A434D3" w14:paraId="15B07CCA" w14:textId="77777777" w:rsidTr="00A434D3">
        <w:trPr>
          <w:trHeight w:val="300"/>
        </w:trPr>
        <w:tc>
          <w:tcPr>
            <w:cnfStyle w:val="001000000000" w:firstRow="0" w:lastRow="0" w:firstColumn="1" w:lastColumn="0" w:oddVBand="0" w:evenVBand="0" w:oddHBand="0" w:evenHBand="0" w:firstRowFirstColumn="0" w:firstRowLastColumn="0" w:lastRowFirstColumn="0" w:lastRowLastColumn="0"/>
            <w:tcW w:w="2698" w:type="dxa"/>
            <w:noWrap/>
            <w:hideMark/>
          </w:tcPr>
          <w:p w14:paraId="721D49CA" w14:textId="386538DB" w:rsidR="00F3525D" w:rsidRPr="00F3525D" w:rsidRDefault="00F3525D" w:rsidP="002D6FDF">
            <w:pPr>
              <w:jc w:val="both"/>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Percepción</w:t>
            </w:r>
            <w:r w:rsidR="00A434D3">
              <w:rPr>
                <w:rFonts w:ascii="Calibri" w:eastAsia="Times New Roman" w:hAnsi="Calibri" w:cs="Calibri"/>
                <w:color w:val="000000"/>
                <w:sz w:val="20"/>
                <w:szCs w:val="20"/>
                <w:lang w:eastAsia="es-MX"/>
              </w:rPr>
              <w:t xml:space="preserve"> de</w:t>
            </w:r>
            <w:r w:rsidRPr="00F3525D">
              <w:rPr>
                <w:rFonts w:ascii="Calibri" w:eastAsia="Times New Roman" w:hAnsi="Calibri" w:cs="Calibri"/>
                <w:color w:val="000000"/>
                <w:sz w:val="20"/>
                <w:szCs w:val="20"/>
                <w:lang w:eastAsia="es-MX"/>
              </w:rPr>
              <w:t xml:space="preserve"> seguridad </w:t>
            </w:r>
            <w:r w:rsidR="00A434D3">
              <w:rPr>
                <w:rFonts w:ascii="Calibri" w:eastAsia="Times New Roman" w:hAnsi="Calibri" w:cs="Calibri"/>
                <w:color w:val="000000"/>
                <w:sz w:val="20"/>
                <w:szCs w:val="20"/>
                <w:lang w:eastAsia="es-MX"/>
              </w:rPr>
              <w:t xml:space="preserve">en el </w:t>
            </w:r>
            <w:r w:rsidRPr="00F3525D">
              <w:rPr>
                <w:rFonts w:ascii="Calibri" w:eastAsia="Times New Roman" w:hAnsi="Calibri" w:cs="Calibri"/>
                <w:color w:val="000000"/>
                <w:sz w:val="20"/>
                <w:szCs w:val="20"/>
                <w:lang w:eastAsia="es-MX"/>
              </w:rPr>
              <w:t>municipio</w:t>
            </w:r>
            <w:r w:rsidR="00A434D3">
              <w:rPr>
                <w:rFonts w:ascii="Calibri" w:eastAsia="Times New Roman" w:hAnsi="Calibri" w:cs="Calibri"/>
                <w:color w:val="000000"/>
                <w:sz w:val="20"/>
                <w:szCs w:val="20"/>
                <w:lang w:eastAsia="es-MX"/>
              </w:rPr>
              <w:t xml:space="preserve"> donde se habita</w:t>
            </w:r>
          </w:p>
        </w:tc>
        <w:tc>
          <w:tcPr>
            <w:tcW w:w="1405" w:type="dxa"/>
            <w:shd w:val="clear" w:color="auto" w:fill="FBE4D5" w:themeFill="accent2" w:themeFillTint="33"/>
            <w:noWrap/>
            <w:hideMark/>
          </w:tcPr>
          <w:p w14:paraId="15DA0435"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52.0</w:t>
            </w:r>
          </w:p>
        </w:tc>
        <w:tc>
          <w:tcPr>
            <w:tcW w:w="1172" w:type="dxa"/>
            <w:shd w:val="clear" w:color="auto" w:fill="FBE4D5" w:themeFill="accent2" w:themeFillTint="33"/>
            <w:noWrap/>
            <w:hideMark/>
          </w:tcPr>
          <w:p w14:paraId="67E0343A"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2</w:t>
            </w:r>
          </w:p>
        </w:tc>
        <w:tc>
          <w:tcPr>
            <w:tcW w:w="1407" w:type="dxa"/>
            <w:shd w:val="clear" w:color="auto" w:fill="D9E2F3" w:themeFill="accent1" w:themeFillTint="33"/>
            <w:noWrap/>
            <w:hideMark/>
          </w:tcPr>
          <w:p w14:paraId="1F408025"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55.6</w:t>
            </w:r>
          </w:p>
        </w:tc>
        <w:tc>
          <w:tcPr>
            <w:tcW w:w="1024" w:type="dxa"/>
            <w:shd w:val="clear" w:color="auto" w:fill="D9E2F3" w:themeFill="accent1" w:themeFillTint="33"/>
            <w:noWrap/>
            <w:hideMark/>
          </w:tcPr>
          <w:p w14:paraId="0880D493" w14:textId="77777777"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3</w:t>
            </w:r>
          </w:p>
        </w:tc>
        <w:tc>
          <w:tcPr>
            <w:tcW w:w="1122" w:type="dxa"/>
            <w:noWrap/>
            <w:hideMark/>
          </w:tcPr>
          <w:p w14:paraId="5167C9AB" w14:textId="12C581A2" w:rsidR="00F3525D" w:rsidRPr="00F3525D" w:rsidRDefault="00F3525D"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2060"/>
                <w:sz w:val="20"/>
                <w:szCs w:val="20"/>
                <w:lang w:eastAsia="es-MX"/>
              </w:rPr>
            </w:pPr>
            <w:r w:rsidRPr="00F3525D">
              <w:rPr>
                <w:rFonts w:ascii="Calibri" w:eastAsia="Times New Roman" w:hAnsi="Calibri" w:cs="Calibri"/>
                <w:color w:val="002060"/>
                <w:sz w:val="20"/>
                <w:szCs w:val="20"/>
                <w:lang w:eastAsia="es-MX"/>
              </w:rPr>
              <w:t>3.5</w:t>
            </w:r>
          </w:p>
        </w:tc>
      </w:tr>
    </w:tbl>
    <w:p w14:paraId="0B4003ED" w14:textId="77777777" w:rsidR="00F3525D" w:rsidRDefault="00F3525D" w:rsidP="002D6FDF">
      <w:pPr>
        <w:jc w:val="both"/>
        <w:rPr>
          <w:lang w:val="es-ES"/>
        </w:rPr>
      </w:pPr>
    </w:p>
    <w:tbl>
      <w:tblPr>
        <w:tblStyle w:val="Tablaconcuadrcula1clara-nfasis1"/>
        <w:tblW w:w="0" w:type="auto"/>
        <w:tblLook w:val="04A0" w:firstRow="1" w:lastRow="0" w:firstColumn="1" w:lastColumn="0" w:noHBand="0" w:noVBand="1"/>
      </w:tblPr>
      <w:tblGrid>
        <w:gridCol w:w="3593"/>
        <w:gridCol w:w="1319"/>
        <w:gridCol w:w="840"/>
        <w:gridCol w:w="1237"/>
        <w:gridCol w:w="816"/>
        <w:gridCol w:w="1023"/>
      </w:tblGrid>
      <w:tr w:rsidR="002D6FDF" w:rsidRPr="00D5083B" w14:paraId="25E3EF5D" w14:textId="77777777" w:rsidTr="00A434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5" w:type="dxa"/>
            <w:noWrap/>
            <w:hideMark/>
          </w:tcPr>
          <w:p w14:paraId="5BF36D24" w14:textId="77777777" w:rsidR="00A434D3" w:rsidRPr="00F3525D" w:rsidRDefault="00A434D3" w:rsidP="002D6FDF">
            <w:pPr>
              <w:jc w:val="both"/>
              <w:rPr>
                <w:rFonts w:ascii="Calibri" w:eastAsia="Times New Roman" w:hAnsi="Calibri" w:cs="Calibri"/>
                <w:color w:val="000000"/>
                <w:sz w:val="18"/>
                <w:szCs w:val="18"/>
                <w:lang w:eastAsia="es-MX"/>
              </w:rPr>
            </w:pPr>
            <w:r w:rsidRPr="00F3525D">
              <w:rPr>
                <w:rFonts w:ascii="Calibri" w:eastAsia="Times New Roman" w:hAnsi="Calibri" w:cs="Calibri"/>
                <w:color w:val="000000"/>
                <w:sz w:val="18"/>
                <w:szCs w:val="18"/>
                <w:lang w:eastAsia="es-MX"/>
              </w:rPr>
              <w:t>Concepto</w:t>
            </w:r>
          </w:p>
        </w:tc>
        <w:tc>
          <w:tcPr>
            <w:tcW w:w="1320" w:type="dxa"/>
            <w:noWrap/>
            <w:hideMark/>
          </w:tcPr>
          <w:p w14:paraId="24AEF750" w14:textId="77777777" w:rsidR="00A434D3" w:rsidRPr="00F3525D" w:rsidRDefault="00A434D3" w:rsidP="002D6F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s-MX"/>
              </w:rPr>
            </w:pPr>
            <w:r w:rsidRPr="00F3525D">
              <w:rPr>
                <w:rFonts w:ascii="Calibri" w:eastAsia="Times New Roman" w:hAnsi="Calibri" w:cs="Calibri"/>
                <w:color w:val="000000"/>
                <w:sz w:val="18"/>
                <w:szCs w:val="18"/>
                <w:lang w:eastAsia="es-MX"/>
              </w:rPr>
              <w:t>% en 2019</w:t>
            </w:r>
          </w:p>
        </w:tc>
        <w:tc>
          <w:tcPr>
            <w:tcW w:w="840" w:type="dxa"/>
            <w:noWrap/>
            <w:hideMark/>
          </w:tcPr>
          <w:p w14:paraId="67528DDA" w14:textId="77777777" w:rsidR="00A434D3" w:rsidRPr="00F3525D" w:rsidRDefault="00A434D3" w:rsidP="002D6F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s-MX"/>
              </w:rPr>
            </w:pPr>
            <w:r w:rsidRPr="00F3525D">
              <w:rPr>
                <w:rFonts w:ascii="Calibri" w:eastAsia="Times New Roman" w:hAnsi="Calibri" w:cs="Calibri"/>
                <w:color w:val="000000"/>
                <w:sz w:val="18"/>
                <w:szCs w:val="18"/>
                <w:lang w:eastAsia="es-MX"/>
              </w:rPr>
              <w:t>Ranking en 2019</w:t>
            </w:r>
          </w:p>
        </w:tc>
        <w:tc>
          <w:tcPr>
            <w:tcW w:w="1238" w:type="dxa"/>
            <w:noWrap/>
            <w:hideMark/>
          </w:tcPr>
          <w:p w14:paraId="6518E392" w14:textId="77777777" w:rsidR="00A434D3" w:rsidRPr="00F3525D" w:rsidRDefault="00A434D3" w:rsidP="002D6F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s-MX"/>
              </w:rPr>
            </w:pPr>
            <w:r w:rsidRPr="00F3525D">
              <w:rPr>
                <w:rFonts w:ascii="Calibri" w:eastAsia="Times New Roman" w:hAnsi="Calibri" w:cs="Calibri"/>
                <w:color w:val="000000"/>
                <w:sz w:val="18"/>
                <w:szCs w:val="18"/>
                <w:lang w:eastAsia="es-MX"/>
              </w:rPr>
              <w:t>% en 2021</w:t>
            </w:r>
          </w:p>
        </w:tc>
        <w:tc>
          <w:tcPr>
            <w:tcW w:w="812" w:type="dxa"/>
            <w:noWrap/>
            <w:hideMark/>
          </w:tcPr>
          <w:p w14:paraId="06DF5027" w14:textId="77777777" w:rsidR="00A434D3" w:rsidRPr="00F3525D" w:rsidRDefault="00A434D3" w:rsidP="002D6F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s-MX"/>
              </w:rPr>
            </w:pPr>
            <w:r w:rsidRPr="00F3525D">
              <w:rPr>
                <w:rFonts w:ascii="Calibri" w:eastAsia="Times New Roman" w:hAnsi="Calibri" w:cs="Calibri"/>
                <w:color w:val="000000"/>
                <w:sz w:val="18"/>
                <w:szCs w:val="18"/>
                <w:lang w:eastAsia="es-MX"/>
              </w:rPr>
              <w:t>Ranking en 2021</w:t>
            </w:r>
          </w:p>
        </w:tc>
        <w:tc>
          <w:tcPr>
            <w:tcW w:w="1023" w:type="dxa"/>
            <w:noWrap/>
            <w:hideMark/>
          </w:tcPr>
          <w:p w14:paraId="4012A22A" w14:textId="671A4184" w:rsidR="00A434D3" w:rsidRPr="00F3525D" w:rsidRDefault="002D6FDF" w:rsidP="002D6F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Cambio</w:t>
            </w:r>
          </w:p>
        </w:tc>
      </w:tr>
      <w:tr w:rsidR="00D5083B" w:rsidRPr="00F3525D" w14:paraId="371F4427" w14:textId="77777777" w:rsidTr="00A434D3">
        <w:trPr>
          <w:trHeight w:val="300"/>
        </w:trPr>
        <w:tc>
          <w:tcPr>
            <w:cnfStyle w:val="001000000000" w:firstRow="0" w:lastRow="0" w:firstColumn="1" w:lastColumn="0" w:oddVBand="0" w:evenVBand="0" w:oddHBand="0" w:evenHBand="0" w:firstRowFirstColumn="0" w:firstRowLastColumn="0" w:lastRowFirstColumn="0" w:lastRowLastColumn="0"/>
            <w:tcW w:w="3595" w:type="dxa"/>
            <w:noWrap/>
            <w:hideMark/>
          </w:tcPr>
          <w:p w14:paraId="1B920D2C" w14:textId="70E8B951" w:rsidR="00A434D3" w:rsidRPr="00F3525D" w:rsidRDefault="00A434D3" w:rsidP="002D6FDF">
            <w:pPr>
              <w:jc w:val="both"/>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 xml:space="preserve">Percepción </w:t>
            </w:r>
            <w:r>
              <w:rPr>
                <w:rFonts w:ascii="Calibri" w:eastAsia="Times New Roman" w:hAnsi="Calibri" w:cs="Calibri"/>
                <w:color w:val="000000"/>
                <w:sz w:val="20"/>
                <w:szCs w:val="20"/>
                <w:lang w:eastAsia="es-MX"/>
              </w:rPr>
              <w:t xml:space="preserve">de la </w:t>
            </w:r>
            <w:r w:rsidRPr="00F3525D">
              <w:rPr>
                <w:rFonts w:ascii="Calibri" w:eastAsia="Times New Roman" w:hAnsi="Calibri" w:cs="Calibri"/>
                <w:color w:val="000000"/>
                <w:sz w:val="20"/>
                <w:szCs w:val="20"/>
                <w:lang w:eastAsia="es-MX"/>
              </w:rPr>
              <w:t xml:space="preserve">evolución </w:t>
            </w:r>
            <w:r>
              <w:rPr>
                <w:rFonts w:ascii="Calibri" w:eastAsia="Times New Roman" w:hAnsi="Calibri" w:cs="Calibri"/>
                <w:color w:val="000000"/>
                <w:sz w:val="20"/>
                <w:szCs w:val="20"/>
                <w:lang w:eastAsia="es-MX"/>
              </w:rPr>
              <w:t xml:space="preserve">de la </w:t>
            </w:r>
            <w:r w:rsidRPr="00F3525D">
              <w:rPr>
                <w:rFonts w:ascii="Calibri" w:eastAsia="Times New Roman" w:hAnsi="Calibri" w:cs="Calibri"/>
                <w:color w:val="000000"/>
                <w:sz w:val="20"/>
                <w:szCs w:val="20"/>
                <w:lang w:eastAsia="es-MX"/>
              </w:rPr>
              <w:t>seguridad en el país (mejor o igual de bien)</w:t>
            </w:r>
          </w:p>
        </w:tc>
        <w:tc>
          <w:tcPr>
            <w:tcW w:w="1320" w:type="dxa"/>
            <w:shd w:val="clear" w:color="auto" w:fill="FBE4D5" w:themeFill="accent2" w:themeFillTint="33"/>
            <w:noWrap/>
            <w:hideMark/>
          </w:tcPr>
          <w:p w14:paraId="4D1022E1" w14:textId="77777777" w:rsidR="00A434D3" w:rsidRPr="00F3525D" w:rsidRDefault="00A434D3"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56.9</w:t>
            </w:r>
          </w:p>
        </w:tc>
        <w:tc>
          <w:tcPr>
            <w:tcW w:w="840" w:type="dxa"/>
            <w:shd w:val="clear" w:color="auto" w:fill="FBE4D5" w:themeFill="accent2" w:themeFillTint="33"/>
            <w:noWrap/>
            <w:hideMark/>
          </w:tcPr>
          <w:p w14:paraId="7F170007" w14:textId="77777777" w:rsidR="00A434D3" w:rsidRPr="00F3525D" w:rsidRDefault="00A434D3"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4</w:t>
            </w:r>
          </w:p>
        </w:tc>
        <w:tc>
          <w:tcPr>
            <w:tcW w:w="1238" w:type="dxa"/>
            <w:shd w:val="clear" w:color="auto" w:fill="D9E2F3" w:themeFill="accent1" w:themeFillTint="33"/>
            <w:noWrap/>
            <w:hideMark/>
          </w:tcPr>
          <w:p w14:paraId="30691B22" w14:textId="77777777" w:rsidR="00A434D3" w:rsidRPr="00F3525D" w:rsidRDefault="00A434D3"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43.0</w:t>
            </w:r>
          </w:p>
        </w:tc>
        <w:tc>
          <w:tcPr>
            <w:tcW w:w="812" w:type="dxa"/>
            <w:shd w:val="clear" w:color="auto" w:fill="D9E2F3" w:themeFill="accent1" w:themeFillTint="33"/>
            <w:noWrap/>
            <w:hideMark/>
          </w:tcPr>
          <w:p w14:paraId="4B42B44D" w14:textId="77777777" w:rsidR="00A434D3" w:rsidRPr="00F3525D" w:rsidRDefault="00A434D3"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3</w:t>
            </w:r>
          </w:p>
        </w:tc>
        <w:tc>
          <w:tcPr>
            <w:tcW w:w="1023" w:type="dxa"/>
            <w:noWrap/>
            <w:hideMark/>
          </w:tcPr>
          <w:p w14:paraId="590BDCB7" w14:textId="77777777" w:rsidR="00A434D3" w:rsidRPr="00F3525D" w:rsidRDefault="00A434D3"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sz w:val="20"/>
                <w:szCs w:val="20"/>
                <w:lang w:eastAsia="es-MX"/>
              </w:rPr>
            </w:pPr>
            <w:r w:rsidRPr="00F3525D">
              <w:rPr>
                <w:rFonts w:ascii="Calibri" w:eastAsia="Times New Roman" w:hAnsi="Calibri" w:cs="Calibri"/>
                <w:b/>
                <w:bCs/>
                <w:color w:val="FF0000"/>
                <w:sz w:val="20"/>
                <w:szCs w:val="20"/>
                <w:lang w:eastAsia="es-MX"/>
              </w:rPr>
              <w:t>-13.9</w:t>
            </w:r>
          </w:p>
        </w:tc>
      </w:tr>
      <w:tr w:rsidR="00D5083B" w:rsidRPr="00F3525D" w14:paraId="13995FD6" w14:textId="77777777" w:rsidTr="00A434D3">
        <w:trPr>
          <w:trHeight w:val="300"/>
        </w:trPr>
        <w:tc>
          <w:tcPr>
            <w:cnfStyle w:val="001000000000" w:firstRow="0" w:lastRow="0" w:firstColumn="1" w:lastColumn="0" w:oddVBand="0" w:evenVBand="0" w:oddHBand="0" w:evenHBand="0" w:firstRowFirstColumn="0" w:firstRowLastColumn="0" w:lastRowFirstColumn="0" w:lastRowLastColumn="0"/>
            <w:tcW w:w="3595" w:type="dxa"/>
            <w:noWrap/>
            <w:hideMark/>
          </w:tcPr>
          <w:p w14:paraId="458666AE" w14:textId="48076CFD" w:rsidR="00A434D3" w:rsidRPr="00F3525D" w:rsidRDefault="00A434D3" w:rsidP="002D6FDF">
            <w:pPr>
              <w:jc w:val="both"/>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 xml:space="preserve">Percepción </w:t>
            </w:r>
            <w:r>
              <w:rPr>
                <w:rFonts w:ascii="Calibri" w:eastAsia="Times New Roman" w:hAnsi="Calibri" w:cs="Calibri"/>
                <w:color w:val="000000"/>
                <w:sz w:val="20"/>
                <w:szCs w:val="20"/>
                <w:lang w:eastAsia="es-MX"/>
              </w:rPr>
              <w:t xml:space="preserve">de la </w:t>
            </w:r>
            <w:r w:rsidRPr="00F3525D">
              <w:rPr>
                <w:rFonts w:ascii="Calibri" w:eastAsia="Times New Roman" w:hAnsi="Calibri" w:cs="Calibri"/>
                <w:color w:val="000000"/>
                <w:sz w:val="20"/>
                <w:szCs w:val="20"/>
                <w:lang w:eastAsia="es-MX"/>
              </w:rPr>
              <w:t xml:space="preserve">evolución </w:t>
            </w:r>
            <w:r>
              <w:rPr>
                <w:rFonts w:ascii="Calibri" w:eastAsia="Times New Roman" w:hAnsi="Calibri" w:cs="Calibri"/>
                <w:color w:val="000000"/>
                <w:sz w:val="20"/>
                <w:szCs w:val="20"/>
                <w:lang w:eastAsia="es-MX"/>
              </w:rPr>
              <w:t xml:space="preserve">de la </w:t>
            </w:r>
            <w:r w:rsidRPr="00F3525D">
              <w:rPr>
                <w:rFonts w:ascii="Calibri" w:eastAsia="Times New Roman" w:hAnsi="Calibri" w:cs="Calibri"/>
                <w:color w:val="000000"/>
                <w:sz w:val="20"/>
                <w:szCs w:val="20"/>
                <w:lang w:eastAsia="es-MX"/>
              </w:rPr>
              <w:t>seguridad en la entidad (mejor o igual de bien)</w:t>
            </w:r>
          </w:p>
        </w:tc>
        <w:tc>
          <w:tcPr>
            <w:tcW w:w="1320" w:type="dxa"/>
            <w:shd w:val="clear" w:color="auto" w:fill="FBE4D5" w:themeFill="accent2" w:themeFillTint="33"/>
            <w:noWrap/>
            <w:hideMark/>
          </w:tcPr>
          <w:p w14:paraId="501E0B3C" w14:textId="77777777" w:rsidR="00A434D3" w:rsidRPr="00F3525D" w:rsidRDefault="00A434D3"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74.4</w:t>
            </w:r>
          </w:p>
        </w:tc>
        <w:tc>
          <w:tcPr>
            <w:tcW w:w="840" w:type="dxa"/>
            <w:shd w:val="clear" w:color="auto" w:fill="FBE4D5" w:themeFill="accent2" w:themeFillTint="33"/>
            <w:noWrap/>
            <w:hideMark/>
          </w:tcPr>
          <w:p w14:paraId="2BA1D776" w14:textId="77777777" w:rsidR="00A434D3" w:rsidRPr="00F3525D" w:rsidRDefault="00A434D3"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3</w:t>
            </w:r>
          </w:p>
        </w:tc>
        <w:tc>
          <w:tcPr>
            <w:tcW w:w="1238" w:type="dxa"/>
            <w:shd w:val="clear" w:color="auto" w:fill="D9E2F3" w:themeFill="accent1" w:themeFillTint="33"/>
            <w:noWrap/>
            <w:hideMark/>
          </w:tcPr>
          <w:p w14:paraId="7AD39B76" w14:textId="77777777" w:rsidR="00A434D3" w:rsidRPr="00F3525D" w:rsidRDefault="00A434D3"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55.6</w:t>
            </w:r>
          </w:p>
        </w:tc>
        <w:tc>
          <w:tcPr>
            <w:tcW w:w="812" w:type="dxa"/>
            <w:shd w:val="clear" w:color="auto" w:fill="D9E2F3" w:themeFill="accent1" w:themeFillTint="33"/>
            <w:noWrap/>
            <w:hideMark/>
          </w:tcPr>
          <w:p w14:paraId="22FFF6A7" w14:textId="77777777" w:rsidR="00A434D3" w:rsidRPr="00F3525D" w:rsidRDefault="00A434D3"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MX"/>
              </w:rPr>
            </w:pPr>
            <w:r w:rsidRPr="00F3525D">
              <w:rPr>
                <w:rFonts w:ascii="Calibri" w:eastAsia="Times New Roman" w:hAnsi="Calibri" w:cs="Calibri"/>
                <w:color w:val="000000"/>
                <w:sz w:val="20"/>
                <w:szCs w:val="20"/>
                <w:lang w:eastAsia="es-MX"/>
              </w:rPr>
              <w:t>3</w:t>
            </w:r>
          </w:p>
        </w:tc>
        <w:tc>
          <w:tcPr>
            <w:tcW w:w="1023" w:type="dxa"/>
            <w:noWrap/>
            <w:hideMark/>
          </w:tcPr>
          <w:p w14:paraId="50A63703" w14:textId="77777777" w:rsidR="00A434D3" w:rsidRPr="00F3525D" w:rsidRDefault="00A434D3" w:rsidP="002D6F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sz w:val="20"/>
                <w:szCs w:val="20"/>
                <w:lang w:eastAsia="es-MX"/>
              </w:rPr>
            </w:pPr>
            <w:r w:rsidRPr="00F3525D">
              <w:rPr>
                <w:rFonts w:ascii="Calibri" w:eastAsia="Times New Roman" w:hAnsi="Calibri" w:cs="Calibri"/>
                <w:b/>
                <w:bCs/>
                <w:color w:val="FF0000"/>
                <w:sz w:val="20"/>
                <w:szCs w:val="20"/>
                <w:lang w:eastAsia="es-MX"/>
              </w:rPr>
              <w:t>-18.8</w:t>
            </w:r>
          </w:p>
        </w:tc>
      </w:tr>
    </w:tbl>
    <w:p w14:paraId="643609CC" w14:textId="7BA704BE" w:rsidR="00497608" w:rsidRDefault="0028490F" w:rsidP="002D6FDF">
      <w:pPr>
        <w:jc w:val="both"/>
        <w:rPr>
          <w:lang w:val="es-ES"/>
        </w:rPr>
      </w:pPr>
      <w:r w:rsidRPr="0028490F">
        <w:rPr>
          <w:b/>
          <w:bCs/>
          <w:lang w:val="es-ES"/>
        </w:rPr>
        <w:t>Fuente:</w:t>
      </w:r>
      <w:r>
        <w:rPr>
          <w:lang w:val="es-ES"/>
        </w:rPr>
        <w:t xml:space="preserve"> INEGI. ENVIPE 2019 y 2022 con datos de su correspondiente año anterior.</w:t>
      </w:r>
    </w:p>
    <w:p w14:paraId="2463E6F1" w14:textId="77777777" w:rsidR="0028490F" w:rsidRDefault="0028490F" w:rsidP="002D6FDF">
      <w:pPr>
        <w:jc w:val="both"/>
        <w:rPr>
          <w:lang w:val="es-ES"/>
        </w:rPr>
      </w:pPr>
    </w:p>
    <w:p w14:paraId="46EB0944" w14:textId="135661B5" w:rsidR="00D5083B" w:rsidRPr="00D5083B" w:rsidRDefault="00D5083B" w:rsidP="002D6FDF">
      <w:pPr>
        <w:jc w:val="both"/>
        <w:rPr>
          <w:b/>
          <w:bCs/>
          <w:lang w:val="es-ES"/>
        </w:rPr>
      </w:pPr>
      <w:r w:rsidRPr="00D5083B">
        <w:rPr>
          <w:b/>
          <w:bCs/>
          <w:lang w:val="es-ES"/>
        </w:rPr>
        <w:t xml:space="preserve"># </w:t>
      </w:r>
      <w:r w:rsidR="00456291">
        <w:rPr>
          <w:b/>
          <w:bCs/>
          <w:lang w:val="es-ES"/>
        </w:rPr>
        <w:t>¿Y los demás delitos?</w:t>
      </w:r>
    </w:p>
    <w:p w14:paraId="4A142EB1" w14:textId="4B46585D" w:rsidR="00D5083B" w:rsidRDefault="00D5083B" w:rsidP="002D6FDF">
      <w:pPr>
        <w:jc w:val="both"/>
        <w:rPr>
          <w:lang w:val="es-ES"/>
        </w:rPr>
      </w:pPr>
    </w:p>
    <w:p w14:paraId="70C6E271" w14:textId="597CA43A" w:rsidR="007138DC" w:rsidRDefault="00456291" w:rsidP="002D6FDF">
      <w:pPr>
        <w:jc w:val="both"/>
        <w:rPr>
          <w:lang w:val="es-ES"/>
        </w:rPr>
      </w:pPr>
      <w:r>
        <w:rPr>
          <w:lang w:val="es-ES"/>
        </w:rPr>
        <w:t xml:space="preserve">Para finalizar, haremos un repaso a las cifras de los demás delitos. </w:t>
      </w:r>
      <w:r w:rsidR="00D5083B">
        <w:rPr>
          <w:lang w:val="es-ES"/>
        </w:rPr>
        <w:t xml:space="preserve">De acuerdo con los datos del Secretariado Ejecutivo del Sistema Nacional de Seguridad Pública (SESNSP) </w:t>
      </w:r>
      <w:r w:rsidR="007138DC">
        <w:rPr>
          <w:lang w:val="es-ES"/>
        </w:rPr>
        <w:t xml:space="preserve">para 2021, los delitos con mayores carpetas de investigación abiertas fueron la violencia familiar, el narcomenudeo, los daños a la propiedad, las amenazas y las lesiones dolosas. </w:t>
      </w:r>
    </w:p>
    <w:p w14:paraId="071CF602" w14:textId="77777777" w:rsidR="007138DC" w:rsidRDefault="007138DC" w:rsidP="002D6FDF">
      <w:pPr>
        <w:jc w:val="both"/>
        <w:rPr>
          <w:lang w:val="es-ES"/>
        </w:rPr>
      </w:pPr>
    </w:p>
    <w:p w14:paraId="64B8B7BB" w14:textId="2F4B0714" w:rsidR="00D5083B" w:rsidRDefault="007138DC" w:rsidP="002D6FDF">
      <w:pPr>
        <w:jc w:val="both"/>
        <w:rPr>
          <w:lang w:val="es-ES"/>
        </w:rPr>
      </w:pPr>
      <w:r>
        <w:rPr>
          <w:lang w:val="es-ES"/>
        </w:rPr>
        <w:t>Entre delitos de alto impacto y delitos de alta incidencia, se puede ver que las lesiones dolosas, los robos y el secuestro han tenido una tendencia a la baja en los últimos años</w:t>
      </w:r>
      <w:r w:rsidR="00445480">
        <w:rPr>
          <w:lang w:val="es-ES"/>
        </w:rPr>
        <w:t>, mientras que delitos como el Abuso sexual y el narcomenudeo han tenido crecimientos durante el mismo periodo.</w:t>
      </w:r>
      <w:r w:rsidR="00456291">
        <w:rPr>
          <w:lang w:val="es-ES"/>
        </w:rPr>
        <w:t xml:space="preserve"> </w:t>
      </w:r>
      <w:r w:rsidR="00445480">
        <w:rPr>
          <w:lang w:val="es-ES"/>
        </w:rPr>
        <w:t>En el caso de la violencia familiar, se observa igualmente una tendencia al alza (recordemos que 2022 aún no termina) y que se presenta un aumento grande en 2021, el cual es congruente con los reportes del crecimiento de la violencia familiar a raíz de la pandemia.</w:t>
      </w:r>
    </w:p>
    <w:p w14:paraId="407C6928" w14:textId="77777777" w:rsidR="007138DC" w:rsidRDefault="007138DC" w:rsidP="002D6FDF">
      <w:pPr>
        <w:jc w:val="both"/>
        <w:rPr>
          <w:lang w:val="es-ES"/>
        </w:rPr>
      </w:pPr>
    </w:p>
    <w:p w14:paraId="0BE919EF" w14:textId="03A34D07" w:rsidR="00D5083B" w:rsidRDefault="007138DC" w:rsidP="002D6FDF">
      <w:pPr>
        <w:jc w:val="both"/>
        <w:rPr>
          <w:lang w:val="es-ES"/>
        </w:rPr>
      </w:pPr>
      <w:r>
        <w:rPr>
          <w:noProof/>
          <w:lang w:val="es-ES"/>
        </w:rPr>
        <w:lastRenderedPageBreak/>
        <w:drawing>
          <wp:inline distT="0" distB="0" distL="0" distR="0" wp14:anchorId="31C5CBC3" wp14:editId="5D8526FE">
            <wp:extent cx="5596518" cy="6840187"/>
            <wp:effectExtent l="0" t="0" r="444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1483" cy="6931811"/>
                    </a:xfrm>
                    <a:prstGeom prst="rect">
                      <a:avLst/>
                    </a:prstGeom>
                  </pic:spPr>
                </pic:pic>
              </a:graphicData>
            </a:graphic>
          </wp:inline>
        </w:drawing>
      </w:r>
    </w:p>
    <w:p w14:paraId="7900EDD9" w14:textId="60BEFE13" w:rsidR="007138DC" w:rsidRDefault="007138DC" w:rsidP="002D6FDF">
      <w:pPr>
        <w:jc w:val="both"/>
        <w:rPr>
          <w:lang w:val="es-ES"/>
        </w:rPr>
      </w:pPr>
    </w:p>
    <w:p w14:paraId="4C4EEF73" w14:textId="2D7DA7CE" w:rsidR="001654A2" w:rsidRPr="001654A2" w:rsidRDefault="001654A2" w:rsidP="002D6FDF">
      <w:pPr>
        <w:jc w:val="both"/>
        <w:rPr>
          <w:b/>
          <w:bCs/>
          <w:lang w:val="es-ES"/>
        </w:rPr>
      </w:pPr>
      <w:r w:rsidRPr="001654A2">
        <w:rPr>
          <w:b/>
          <w:bCs/>
          <w:lang w:val="es-ES"/>
        </w:rPr>
        <w:t xml:space="preserve"># Conclusión: </w:t>
      </w:r>
    </w:p>
    <w:p w14:paraId="0CCD0FB4" w14:textId="77777777" w:rsidR="001654A2" w:rsidRDefault="001654A2" w:rsidP="002D6FDF">
      <w:pPr>
        <w:jc w:val="both"/>
        <w:rPr>
          <w:lang w:val="es-ES"/>
        </w:rPr>
      </w:pPr>
    </w:p>
    <w:p w14:paraId="694D071B" w14:textId="20A0CCF4" w:rsidR="003E28A6" w:rsidRDefault="00456291" w:rsidP="002D6FDF">
      <w:pPr>
        <w:jc w:val="both"/>
        <w:rPr>
          <w:lang w:val="es-ES"/>
        </w:rPr>
      </w:pPr>
      <w:r>
        <w:rPr>
          <w:lang w:val="es-ES"/>
        </w:rPr>
        <w:t>En conclusión, l</w:t>
      </w:r>
      <w:r w:rsidR="001654A2">
        <w:rPr>
          <w:lang w:val="es-ES"/>
        </w:rPr>
        <w:t xml:space="preserve">a entidad ha tenido en los últimos años un desempeño interesante en el tema de seguridad, y esto se encuentra respaldado por los datos y la evidencia disponible. </w:t>
      </w:r>
    </w:p>
    <w:p w14:paraId="3C9DC069" w14:textId="77777777" w:rsidR="003E28A6" w:rsidRDefault="003E28A6" w:rsidP="002D6FDF">
      <w:pPr>
        <w:jc w:val="both"/>
        <w:rPr>
          <w:lang w:val="es-ES"/>
        </w:rPr>
      </w:pPr>
    </w:p>
    <w:p w14:paraId="04703C1E" w14:textId="7E018E12" w:rsidR="0028490F" w:rsidRPr="00497608" w:rsidRDefault="001654A2" w:rsidP="002D6FDF">
      <w:pPr>
        <w:jc w:val="both"/>
        <w:rPr>
          <w:lang w:val="es-ES"/>
        </w:rPr>
      </w:pPr>
      <w:r>
        <w:rPr>
          <w:lang w:val="es-ES"/>
        </w:rPr>
        <w:lastRenderedPageBreak/>
        <w:t xml:space="preserve">Se ha disminuido el número de </w:t>
      </w:r>
      <w:r w:rsidR="003E28A6">
        <w:rPr>
          <w:lang w:val="es-ES"/>
        </w:rPr>
        <w:t xml:space="preserve">delitos graves, como el homicidio, el secuestro, los robos (automotor y casa habitación) </w:t>
      </w:r>
      <w:r w:rsidR="002D6FDF">
        <w:rPr>
          <w:lang w:val="es-ES"/>
        </w:rPr>
        <w:t xml:space="preserve">y la percepción de la seguridad ha aumentado entre la población, estando en el grupo de las 10 entidades con mejor percepción de seguridad en todo el país. Queda pendiente para las siguientes autoridades el mantener estos desempeños, no revertir las tendencias y mejorar la percepción pesimista acerca del futuro de la seguridad de la entidad para los próximos años. </w:t>
      </w:r>
    </w:p>
    <w:sectPr w:rsidR="0028490F" w:rsidRPr="0049760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8"/>
    <w:rsid w:val="0001152A"/>
    <w:rsid w:val="000A46C9"/>
    <w:rsid w:val="001654A2"/>
    <w:rsid w:val="001A3ED3"/>
    <w:rsid w:val="0028490F"/>
    <w:rsid w:val="002D6FDF"/>
    <w:rsid w:val="00306E20"/>
    <w:rsid w:val="003B16B4"/>
    <w:rsid w:val="003E28A6"/>
    <w:rsid w:val="00445480"/>
    <w:rsid w:val="00456291"/>
    <w:rsid w:val="00461D72"/>
    <w:rsid w:val="00497608"/>
    <w:rsid w:val="005765A5"/>
    <w:rsid w:val="00590BA0"/>
    <w:rsid w:val="00654F39"/>
    <w:rsid w:val="00702819"/>
    <w:rsid w:val="007138DC"/>
    <w:rsid w:val="00773865"/>
    <w:rsid w:val="007F2870"/>
    <w:rsid w:val="007F44E0"/>
    <w:rsid w:val="00893571"/>
    <w:rsid w:val="009823F1"/>
    <w:rsid w:val="009A55CA"/>
    <w:rsid w:val="00A434D3"/>
    <w:rsid w:val="00AF44FF"/>
    <w:rsid w:val="00B14F3B"/>
    <w:rsid w:val="00B14F44"/>
    <w:rsid w:val="00BA028C"/>
    <w:rsid w:val="00C245E7"/>
    <w:rsid w:val="00C325E5"/>
    <w:rsid w:val="00C707D6"/>
    <w:rsid w:val="00C838B5"/>
    <w:rsid w:val="00D5083B"/>
    <w:rsid w:val="00F3525D"/>
    <w:rsid w:val="00F54039"/>
    <w:rsid w:val="00F573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03C1EE9D"/>
  <w15:chartTrackingRefBased/>
  <w15:docId w15:val="{C2AAC4D9-1076-474A-B36F-C4C7BD688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1clara-nfasis1">
    <w:name w:val="Grid Table 1 Light Accent 1"/>
    <w:basedOn w:val="Tablanormal"/>
    <w:uiPriority w:val="46"/>
    <w:rsid w:val="00F3525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9</Pages>
  <Words>746</Words>
  <Characters>4105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Juvenal Campos Ferreira</dc:creator>
  <cp:keywords/>
  <dc:description/>
  <cp:lastModifiedBy>Jorge Juvenal Campos Ferreira</cp:lastModifiedBy>
  <cp:revision>3</cp:revision>
  <dcterms:created xsi:type="dcterms:W3CDTF">2022-06-28T23:41:00Z</dcterms:created>
  <dcterms:modified xsi:type="dcterms:W3CDTF">2022-06-30T23:50:00Z</dcterms:modified>
</cp:coreProperties>
</file>