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3B251" w14:textId="6B4CB069" w:rsidR="00760BD6" w:rsidRPr="00FC767F" w:rsidRDefault="00760BD6" w:rsidP="00C8415A">
      <w:pPr>
        <w:keepNext/>
        <w:jc w:val="both"/>
        <w:rPr>
          <w:b/>
          <w:bCs/>
        </w:rPr>
      </w:pPr>
      <w:r w:rsidRPr="00FC767F">
        <w:rPr>
          <w:b/>
          <w:bCs/>
        </w:rPr>
        <w:t>O</w:t>
      </w:r>
      <w:r w:rsidRPr="00FC767F">
        <w:rPr>
          <w:rFonts w:hint="eastAsia"/>
          <w:b/>
          <w:bCs/>
        </w:rPr>
        <w:t>verview</w:t>
      </w:r>
    </w:p>
    <w:p w14:paraId="08BF91C2" w14:textId="77777777" w:rsidR="00CD4EF6" w:rsidRPr="00CD4EF6" w:rsidRDefault="00CD4EF6" w:rsidP="00CD4EF6">
      <w:pPr>
        <w:keepNext/>
        <w:jc w:val="both"/>
      </w:pPr>
      <w:r w:rsidRPr="00CD4EF6">
        <w:t>North Carolina State University’s Centennial Campus functions as a microgrid campus that integrates a district heating and cooling system, a combined heat and power (CHP) system, thermal energy storage, solar photovoltaic (PV) generation, and battery energy storage systems (BESS) as distributed energy resources (DERs). Through advanced metering infrastructure and building automation systems (BAS), campus building loads can be continuously monitored and controlled, supporting optimized energy operation and grid-interactive functionality. This makes Centennial Campus a valuable testbed for research aimed at improving energy efficiency, demand flexibility, and resilience. Our team is currently developing digital twin models of the campus buildings and district heating and cooling systems to support advanced simulation, control, and validation studies. Requests for information related to the campus digital twin building models should be directed to Dr. Soolyeon Cho, Director of the Building Energy Technology Laboratory (BETlab), at scho3@ncsu.edu.</w:t>
      </w:r>
    </w:p>
    <w:p w14:paraId="6943AA03" w14:textId="77777777" w:rsidR="00CD4EF6" w:rsidRDefault="00CD4EF6" w:rsidP="00C8415A">
      <w:pPr>
        <w:keepNext/>
      </w:pPr>
    </w:p>
    <w:p w14:paraId="6681CD7B" w14:textId="32510543" w:rsidR="003623BB" w:rsidRDefault="003623BB" w:rsidP="00C8415A">
      <w:pPr>
        <w:keepNext/>
      </w:pPr>
      <w:r>
        <w:rPr>
          <w:rFonts w:ascii="system-ui" w:eastAsia="system-ui" w:hAnsi="system-ui" w:cs="system-ui"/>
          <w:noProof/>
          <w:color w:val="1C1C1C"/>
        </w:rPr>
        <w:drawing>
          <wp:inline distT="0" distB="0" distL="0" distR="0" wp14:anchorId="2171FB10" wp14:editId="2CA15A7E">
            <wp:extent cx="5325035" cy="2621026"/>
            <wp:effectExtent l="0" t="0" r="0" b="8255"/>
            <wp:docPr id="947119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32236" cy="2624571"/>
                    </a:xfrm>
                    <a:prstGeom prst="rect">
                      <a:avLst/>
                    </a:prstGeom>
                    <a:noFill/>
                    <a:ln>
                      <a:noFill/>
                    </a:ln>
                  </pic:spPr>
                </pic:pic>
              </a:graphicData>
            </a:graphic>
          </wp:inline>
        </w:drawing>
      </w:r>
    </w:p>
    <w:p w14:paraId="146B9AB1" w14:textId="5CF7E1E1" w:rsidR="4FFC42CE" w:rsidRDefault="003623BB" w:rsidP="00C84461">
      <w:pPr>
        <w:pStyle w:val="Caption"/>
        <w:jc w:val="center"/>
        <w:rPr>
          <w:rFonts w:ascii="system-ui" w:eastAsia="system-ui" w:hAnsi="system-ui" w:cs="system-ui" w:hint="eastAsia"/>
          <w:color w:val="1C1C1C"/>
        </w:rPr>
      </w:pPr>
      <w:r>
        <w:t xml:space="preserve">Figure </w:t>
      </w:r>
      <w:r>
        <w:fldChar w:fldCharType="begin"/>
      </w:r>
      <w:r>
        <w:instrText xml:space="preserve"> SEQ Figure \* ARABIC </w:instrText>
      </w:r>
      <w:r>
        <w:fldChar w:fldCharType="separate"/>
      </w:r>
      <w:r>
        <w:rPr>
          <w:noProof/>
        </w:rPr>
        <w:t>1</w:t>
      </w:r>
      <w:r>
        <w:fldChar w:fldCharType="end"/>
      </w:r>
      <w:r>
        <w:rPr>
          <w:rFonts w:hint="eastAsia"/>
        </w:rPr>
        <w:t>. NC STATE Centennial Campus Overview</w:t>
      </w:r>
    </w:p>
    <w:p w14:paraId="2234769F" w14:textId="31EE855B" w:rsidR="00FC767F" w:rsidRPr="00FC767F" w:rsidRDefault="27B8E535" w:rsidP="6CFA57EA">
      <w:pPr>
        <w:spacing w:before="240" w:after="240"/>
        <w:rPr>
          <w:rFonts w:ascii="Aptos" w:hAnsi="Aptos" w:cs="Aptos" w:hint="eastAsia"/>
          <w:b/>
          <w:color w:val="000000" w:themeColor="text1"/>
        </w:rPr>
      </w:pPr>
      <w:r w:rsidRPr="00FC767F">
        <w:rPr>
          <w:rFonts w:ascii="Aptos" w:eastAsia="Aptos" w:hAnsi="Aptos" w:cs="Aptos"/>
          <w:b/>
          <w:color w:val="000000" w:themeColor="text1"/>
        </w:rPr>
        <w:t xml:space="preserve">Fitts-Woolard Hall (FWH) </w:t>
      </w:r>
      <w:r w:rsidR="00FC767F" w:rsidRPr="00FC767F">
        <w:rPr>
          <w:rFonts w:ascii="Aptos" w:hAnsi="Aptos" w:cs="Aptos" w:hint="eastAsia"/>
          <w:b/>
          <w:color w:val="000000" w:themeColor="text1"/>
        </w:rPr>
        <w:t>Building</w:t>
      </w:r>
    </w:p>
    <w:p w14:paraId="77876676" w14:textId="6169E7F6" w:rsidR="6B3FC10E" w:rsidRPr="000D2214" w:rsidRDefault="00FC767F" w:rsidP="000D2214">
      <w:pPr>
        <w:spacing w:before="240" w:after="240"/>
        <w:rPr>
          <w:rFonts w:ascii="Aptos" w:hAnsi="Aptos" w:cs="Aptos" w:hint="eastAsia"/>
          <w:color w:val="000000" w:themeColor="text1"/>
        </w:rPr>
      </w:pPr>
      <w:r>
        <w:rPr>
          <w:rFonts w:ascii="Aptos" w:hAnsi="Aptos" w:cs="Aptos" w:hint="eastAsia"/>
          <w:color w:val="000000" w:themeColor="text1"/>
        </w:rPr>
        <w:t xml:space="preserve">FWH </w:t>
      </w:r>
      <w:r w:rsidR="27B8E535" w:rsidRPr="6CFA57EA">
        <w:rPr>
          <w:rFonts w:ascii="Aptos" w:eastAsia="Aptos" w:hAnsi="Aptos" w:cs="Aptos"/>
          <w:color w:val="000000" w:themeColor="text1"/>
        </w:rPr>
        <w:t>is a four-story academic building located on Centennial Campus at North Carolina State University. The building was completed in 2020 and serves as a modern facility for education and research.</w:t>
      </w:r>
      <w:r>
        <w:rPr>
          <w:rFonts w:ascii="Aptos" w:hAnsi="Aptos" w:cs="Aptos" w:hint="eastAsia"/>
          <w:color w:val="000000" w:themeColor="text1"/>
        </w:rPr>
        <w:t xml:space="preserve"> </w:t>
      </w:r>
      <w:r w:rsidR="27B8E535" w:rsidRPr="6CFA57EA">
        <w:rPr>
          <w:rFonts w:ascii="Aptos" w:eastAsia="Aptos" w:hAnsi="Aptos" w:cs="Aptos"/>
          <w:color w:val="000000" w:themeColor="text1"/>
        </w:rPr>
        <w:t>The building has a design heating load of approximately 5,300 MBH and a cooling load of approximately 1,100 tons. It is served by a district heating and cooling system. The HVAC system consists of Variable Air Volume (VAV) systems with terminal reheat coils, supported by Dedicated Outdoor Air Systems (DOAS). Air Handling Units (AHUs) are equipped with economizers, allowing the use of outdoor air for cooling when conditions are favorable. This system configuration supports efficient operation and indoor environmental control.</w:t>
      </w:r>
    </w:p>
    <w:p w14:paraId="062DA163" w14:textId="36F4AC9F" w:rsidR="004526BC" w:rsidRPr="004526BC" w:rsidRDefault="27486E7E" w:rsidP="3B44B7BE">
      <w:pPr>
        <w:spacing w:before="240" w:after="240"/>
        <w:rPr>
          <w:rFonts w:ascii="Aptos" w:eastAsia="Malgun Gothic" w:hAnsi="Aptos" w:cs="Aptos" w:hint="eastAsia"/>
          <w:b/>
          <w:color w:val="000000" w:themeColor="text1"/>
        </w:rPr>
      </w:pPr>
      <w:r>
        <w:rPr>
          <w:noProof/>
        </w:rPr>
        <w:drawing>
          <wp:inline distT="0" distB="0" distL="0" distR="0" wp14:anchorId="6549AB84" wp14:editId="39F01958">
            <wp:extent cx="5943600" cy="1419225"/>
            <wp:effectExtent l="0" t="0" r="0" b="0"/>
            <wp:docPr id="1474857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5793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419225"/>
                    </a:xfrm>
                    <a:prstGeom prst="rect">
                      <a:avLst/>
                    </a:prstGeom>
                  </pic:spPr>
                </pic:pic>
              </a:graphicData>
            </a:graphic>
          </wp:inline>
        </w:drawing>
      </w:r>
    </w:p>
    <w:p w14:paraId="118E6AA7" w14:textId="581AFA0E" w:rsidR="3B44B7BE" w:rsidRDefault="0910CD5E" w:rsidP="3B44B7BE">
      <w:pPr>
        <w:spacing w:before="240" w:after="240"/>
        <w:rPr>
          <w:rFonts w:ascii="Aptos" w:eastAsia="Aptos" w:hAnsi="Aptos" w:cs="Aptos"/>
          <w:b/>
          <w:color w:val="000000" w:themeColor="text1"/>
        </w:rPr>
      </w:pPr>
      <w:r w:rsidRPr="24166820">
        <w:rPr>
          <w:rFonts w:ascii="Aptos" w:eastAsia="Aptos" w:hAnsi="Aptos" w:cs="Aptos"/>
          <w:b/>
          <w:color w:val="000000" w:themeColor="text1"/>
        </w:rPr>
        <w:t>EnergyPlus Model Description</w:t>
      </w:r>
    </w:p>
    <w:p w14:paraId="1F3AFE19" w14:textId="0596B2B1" w:rsidR="6CFA57EA" w:rsidRDefault="4F35DE92" w:rsidP="00FC767F">
      <w:pPr>
        <w:spacing w:before="240" w:after="240"/>
      </w:pPr>
      <w:r>
        <w:t>The EnergyPlus model represents the full building of Fitts-Woolard Hall, including all floors and occupied spaces, with 465 rooms aggregated into 226 thermal zones. The building is served by a district heating and cooling system, modeled using DistrictHeating and DistrictCooling components to represent centralized energy supply without detailed plant modeling.</w:t>
      </w:r>
      <w:r w:rsidR="00FC767F">
        <w:rPr>
          <w:rFonts w:hint="eastAsia"/>
        </w:rPr>
        <w:t xml:space="preserve"> </w:t>
      </w:r>
      <w:r>
        <w:t>The air-side HVAC system consists of four Air Handling Units (AHUs). AHU-1, along with exhaust fans, serves laboratory spaces, while AHU-2, AHU-3, and AHU-4 serve general spaces with support from Dedicated Outdoor Air Systems (DOAS). The system includes VAV terminals with reheat and AHU economizers. Indoor temperature setpoints are 70°F for heating and approximately 69.8°F (21°C) for cooling, enabling simulation-based analysis of building energy performance and system behavior.</w:t>
      </w:r>
    </w:p>
    <w:p w14:paraId="27BC117E" w14:textId="238D8E1D" w:rsidR="768AD05E" w:rsidRDefault="768AD05E">
      <w:pPr>
        <w:rPr>
          <w:b/>
        </w:rPr>
      </w:pPr>
      <w:r w:rsidRPr="686E8149">
        <w:rPr>
          <w:b/>
        </w:rPr>
        <w:t>Semantic Modeling of Fitts-Woolard Hall</w:t>
      </w:r>
    </w:p>
    <w:p w14:paraId="49C47F76" w14:textId="26945E78" w:rsidR="3A871AA4" w:rsidRDefault="3A871AA4" w:rsidP="62FE3E5F">
      <w:pPr>
        <w:spacing w:before="240" w:after="240"/>
      </w:pPr>
      <w:r>
        <w:t>This work presents a semantic modeling and validation framework for HVAC systems using real Building Automation System (BAS) data from Fitts-Woolard Hall. The study focuses on a Dedicated Outdoor Air System (DOAS) and integrates the Brick schema with ASHRAE Standard 223P to represent equipment, sensors, and time-series data.</w:t>
      </w:r>
      <w:r w:rsidR="00FC767F">
        <w:rPr>
          <w:rFonts w:hint="eastAsia"/>
        </w:rPr>
        <w:t xml:space="preserve"> </w:t>
      </w:r>
      <w:r>
        <w:t>Using SHACL constraints, the framework validates data consistency and compliance with operational rules from ASHRAE Guideline 36. The results demonstrate that the system satisfies validation requirements and highlight the potential of semantic modeling for HVAC control, fault detection, and digital twin integration.</w:t>
      </w:r>
    </w:p>
    <w:p w14:paraId="7BE184E0" w14:textId="2CDD1D7F" w:rsidR="00FC767F" w:rsidRPr="000638F4" w:rsidRDefault="00FC767F" w:rsidP="62FE3E5F">
      <w:pPr>
        <w:spacing w:before="240" w:after="240"/>
        <w:rPr>
          <w:b/>
          <w:bCs/>
        </w:rPr>
      </w:pPr>
      <w:r w:rsidRPr="000638F4">
        <w:rPr>
          <w:rFonts w:hint="eastAsia"/>
          <w:b/>
          <w:bCs/>
        </w:rPr>
        <w:t>Reference</w:t>
      </w:r>
    </w:p>
    <w:p w14:paraId="498A140D" w14:textId="4951EB99" w:rsidR="297913FC" w:rsidRDefault="768AD05E" w:rsidP="7CA7DCD0">
      <w:pPr>
        <w:spacing w:line="253" w:lineRule="auto"/>
      </w:pPr>
      <w:r w:rsidRPr="7CA7DCD0">
        <w:rPr>
          <w:rFonts w:ascii="Aptos" w:eastAsia="Aptos" w:hAnsi="Aptos" w:cs="Aptos"/>
          <w:color w:val="000000" w:themeColor="text1"/>
          <w:sz w:val="22"/>
          <w:szCs w:val="22"/>
        </w:rPr>
        <w:t>Yujin Kim, Juwan Ha, Seungmin Lee, Soolyeon Cho. (2026) Ontology-Based Semantic Modeling of HVAC Systems in the Office Building: A Foundation for Scalable Control and Digital Twin Integration, 2026 ASHRAE Winter Conference, Las Vegas.</w:t>
      </w:r>
    </w:p>
    <w:p w14:paraId="48785BB7" w14:textId="294F29DA" w:rsidR="00AD2C6D" w:rsidRPr="001B5EAD" w:rsidRDefault="00AD2C6D" w:rsidP="00AD2C6D">
      <w:pPr>
        <w:rPr>
          <w:rFonts w:hint="eastAsia"/>
          <w:b/>
          <w:bCs/>
        </w:rPr>
      </w:pPr>
      <w:r w:rsidRPr="001B5EAD">
        <w:rPr>
          <w:b/>
          <w:bCs/>
        </w:rPr>
        <w:t>Wolf Ridge Apartments</w:t>
      </w:r>
      <w:r w:rsidRPr="001B5EAD">
        <w:rPr>
          <w:rFonts w:hint="eastAsia"/>
          <w:b/>
          <w:bCs/>
        </w:rPr>
        <w:t xml:space="preserve"> and </w:t>
      </w:r>
      <w:r w:rsidRPr="001B5EAD">
        <w:rPr>
          <w:b/>
          <w:bCs/>
        </w:rPr>
        <w:t>Industrial</w:t>
      </w:r>
      <w:r w:rsidRPr="001B5EAD">
        <w:rPr>
          <w:rFonts w:hint="eastAsia"/>
          <w:b/>
          <w:bCs/>
        </w:rPr>
        <w:t xml:space="preserve"> </w:t>
      </w:r>
      <w:r w:rsidRPr="001B5EAD">
        <w:rPr>
          <w:b/>
          <w:bCs/>
        </w:rPr>
        <w:t>Building</w:t>
      </w:r>
    </w:p>
    <w:p w14:paraId="519BB044" w14:textId="70619A6A" w:rsidR="00127697" w:rsidRDefault="00AD2C6D" w:rsidP="00C45CB3">
      <w:r>
        <w:rPr>
          <w:rFonts w:hint="eastAsia"/>
        </w:rPr>
        <w:t xml:space="preserve"> </w:t>
      </w:r>
      <w:r w:rsidR="00127697" w:rsidRPr="003A41B9">
        <w:rPr>
          <w:rFonts w:ascii="Times New Roman" w:hAnsi="Times New Roman" w:cs="Times New Roman"/>
          <w:noProof/>
        </w:rPr>
        <w:drawing>
          <wp:inline distT="0" distB="0" distL="0" distR="0" wp14:anchorId="3085CB0D" wp14:editId="5C9E24A1">
            <wp:extent cx="5706319" cy="2439208"/>
            <wp:effectExtent l="0" t="0" r="8890" b="0"/>
            <wp:docPr id="877403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0431" cy="2449515"/>
                    </a:xfrm>
                    <a:prstGeom prst="rect">
                      <a:avLst/>
                    </a:prstGeom>
                    <a:noFill/>
                    <a:ln>
                      <a:noFill/>
                    </a:ln>
                  </pic:spPr>
                </pic:pic>
              </a:graphicData>
            </a:graphic>
          </wp:inline>
        </w:drawing>
      </w:r>
    </w:p>
    <w:p w14:paraId="7C0FD58B" w14:textId="77777777" w:rsidR="00127697" w:rsidRDefault="00127697" w:rsidP="00C45CB3">
      <w:pPr>
        <w:rPr>
          <w:rFonts w:hint="eastAsia"/>
        </w:rPr>
      </w:pPr>
    </w:p>
    <w:p w14:paraId="43C363F7" w14:textId="77777777" w:rsidR="00AE6C22" w:rsidRPr="00AE6C22" w:rsidRDefault="00AE6C22" w:rsidP="00AE6C22">
      <w:pPr>
        <w:jc w:val="both"/>
      </w:pPr>
      <w:r w:rsidRPr="00AE6C22">
        <w:t>This study uses the developed digital twin models to evaluate the performance of the proposed Building Thermal System (BTS) across three real case-study buildings with different functions and structural characteristics: a mid-sized institutional office building, a six-story suite-style student housing building, and a lightweight steel-structure warehouse. The BTS uses rooftop solar thermal collectors as the primary energy source and incorporates a Thermal Mass Energy Storage (TMES) system, in which piping embedded in the soil or sand layer beneath the building foundation functions as a thermal battery. The stored thermal energy is delivered to indoor spaces through a Thermally Activated Building System (TABS) via radiant heat transfer, while a Dedicated Outdoor Air System (DOAS) handles ventilation and latent loads as part of a dual-system architecture. Using actual weather data and utility meter data for steam and electricity, high-fidelity dynamic simulations were conducted at a one-minute resolution for the peak heating period from December 13 to 22, 2023. The results confirm that the proposed system can meet 100% of the heating demand of the case-study buildings using solar thermal energy alone.</w:t>
      </w:r>
    </w:p>
    <w:p w14:paraId="40CCA8E0" w14:textId="38DB0790" w:rsidR="3C6B67D4" w:rsidRPr="000638F4" w:rsidRDefault="00AD2C6D">
      <w:pPr>
        <w:rPr>
          <w:b/>
          <w:bCs/>
        </w:rPr>
      </w:pPr>
      <w:r w:rsidRPr="000638F4">
        <w:rPr>
          <w:rFonts w:hint="eastAsia"/>
          <w:b/>
          <w:bCs/>
        </w:rPr>
        <w:t>Reference</w:t>
      </w:r>
    </w:p>
    <w:p w14:paraId="6EEA7D3D" w14:textId="241D1189" w:rsidR="00316BED" w:rsidRPr="00316BED" w:rsidRDefault="00316BED" w:rsidP="00316BED">
      <w:pPr>
        <w:spacing w:after="0" w:line="360" w:lineRule="auto"/>
        <w:rPr>
          <w:rFonts w:ascii="Times New Roman" w:hAnsi="Times New Roman" w:cs="Times New Roman"/>
        </w:rPr>
      </w:pPr>
      <w:r w:rsidRPr="003A41B9">
        <w:rPr>
          <w:rFonts w:ascii="Times New Roman" w:hAnsi="Times New Roman" w:cs="Times New Roman"/>
        </w:rPr>
        <w:t xml:space="preserve">Hawks, M. and S. Cho. 2024. Review and analysis of current solutions and trends for zero energy building (ZEB) thermal systems. </w:t>
      </w:r>
      <w:r w:rsidRPr="003A41B9">
        <w:rPr>
          <w:rFonts w:ascii="Times New Roman" w:hAnsi="Times New Roman" w:cs="Times New Roman"/>
          <w:i/>
          <w:iCs/>
        </w:rPr>
        <w:t>Renewable and Sustainable Energy Reviews</w:t>
      </w:r>
      <w:r w:rsidRPr="003A41B9">
        <w:rPr>
          <w:rFonts w:ascii="Times New Roman" w:hAnsi="Times New Roman" w:cs="Times New Roman"/>
        </w:rPr>
        <w:t xml:space="preserve"> 2024;189:114028.</w:t>
      </w:r>
    </w:p>
    <w:p w14:paraId="2E56616D" w14:textId="77777777" w:rsidR="004E400F" w:rsidRDefault="004E400F" w:rsidP="004E400F">
      <w:pPr>
        <w:spacing w:after="0" w:line="360" w:lineRule="auto"/>
        <w:rPr>
          <w:rFonts w:ascii="Times New Roman" w:hAnsi="Times New Roman" w:cs="Times New Roman"/>
        </w:rPr>
      </w:pPr>
      <w:r>
        <w:rPr>
          <w:rFonts w:ascii="Times New Roman" w:hAnsi="Times New Roman" w:cs="Times New Roman"/>
        </w:rPr>
        <w:t>Hawks</w:t>
      </w:r>
      <w:r w:rsidRPr="003A41B9">
        <w:rPr>
          <w:rFonts w:ascii="Times New Roman" w:hAnsi="Times New Roman" w:cs="Times New Roman"/>
        </w:rPr>
        <w:t xml:space="preserve">, </w:t>
      </w:r>
      <w:r>
        <w:rPr>
          <w:rFonts w:ascii="Times New Roman" w:hAnsi="Times New Roman" w:cs="Times New Roman"/>
        </w:rPr>
        <w:t>M</w:t>
      </w:r>
      <w:r w:rsidRPr="003A41B9">
        <w:rPr>
          <w:rFonts w:ascii="Times New Roman" w:hAnsi="Times New Roman" w:cs="Times New Roman"/>
        </w:rPr>
        <w:t xml:space="preserve">. and </w:t>
      </w:r>
      <w:r>
        <w:rPr>
          <w:rFonts w:ascii="Times New Roman" w:hAnsi="Times New Roman" w:cs="Times New Roman"/>
        </w:rPr>
        <w:t>S</w:t>
      </w:r>
      <w:r w:rsidRPr="003A41B9">
        <w:rPr>
          <w:rFonts w:ascii="Times New Roman" w:hAnsi="Times New Roman" w:cs="Times New Roman"/>
        </w:rPr>
        <w:t xml:space="preserve">. </w:t>
      </w:r>
      <w:r>
        <w:rPr>
          <w:rFonts w:ascii="Times New Roman" w:hAnsi="Times New Roman" w:cs="Times New Roman"/>
        </w:rPr>
        <w:t>Cho</w:t>
      </w:r>
      <w:r w:rsidRPr="003A41B9">
        <w:rPr>
          <w:rFonts w:ascii="Times New Roman" w:hAnsi="Times New Roman" w:cs="Times New Roman"/>
        </w:rPr>
        <w:t>. 202</w:t>
      </w:r>
      <w:r>
        <w:rPr>
          <w:rFonts w:ascii="Times New Roman" w:hAnsi="Times New Roman" w:cs="Times New Roman"/>
        </w:rPr>
        <w:t>6</w:t>
      </w:r>
      <w:r w:rsidRPr="003A41B9">
        <w:rPr>
          <w:rFonts w:ascii="Times New Roman" w:hAnsi="Times New Roman" w:cs="Times New Roman"/>
        </w:rPr>
        <w:t xml:space="preserve">. </w:t>
      </w:r>
      <w:r>
        <w:rPr>
          <w:rFonts w:ascii="Times New Roman" w:hAnsi="Times New Roman" w:cs="Times New Roman"/>
        </w:rPr>
        <w:t>Thermal Mass Energy Storage (TMES) Engineering Framework that Enables the Use of Passive and Renewable Energy for Radiant Heating and Cooling Systems</w:t>
      </w:r>
      <w:r w:rsidRPr="003A41B9">
        <w:rPr>
          <w:rFonts w:ascii="Times New Roman" w:hAnsi="Times New Roman" w:cs="Times New Roman"/>
        </w:rPr>
        <w:t xml:space="preserve">. </w:t>
      </w:r>
      <w:r w:rsidRPr="003A41B9">
        <w:rPr>
          <w:rFonts w:ascii="Times New Roman" w:hAnsi="Times New Roman" w:cs="Times New Roman"/>
          <w:i/>
          <w:iCs/>
        </w:rPr>
        <w:t>ASHRAE Transactions</w:t>
      </w:r>
      <w:r w:rsidRPr="003A41B9">
        <w:rPr>
          <w:rFonts w:ascii="Times New Roman" w:hAnsi="Times New Roman" w:cs="Times New Roman"/>
        </w:rPr>
        <w:t xml:space="preserve"> 13</w:t>
      </w:r>
      <w:r>
        <w:rPr>
          <w:rFonts w:ascii="Times New Roman" w:hAnsi="Times New Roman" w:cs="Times New Roman"/>
        </w:rPr>
        <w:t>2</w:t>
      </w:r>
      <w:r w:rsidRPr="003A41B9">
        <w:rPr>
          <w:rFonts w:ascii="Times New Roman" w:hAnsi="Times New Roman" w:cs="Times New Roman"/>
        </w:rPr>
        <w:t>:</w:t>
      </w:r>
      <w:r>
        <w:rPr>
          <w:rFonts w:ascii="Times New Roman" w:hAnsi="Times New Roman" w:cs="Times New Roman"/>
        </w:rPr>
        <w:t>LV-26-137</w:t>
      </w:r>
      <w:r w:rsidRPr="003A41B9">
        <w:rPr>
          <w:rFonts w:ascii="Times New Roman" w:hAnsi="Times New Roman" w:cs="Times New Roman"/>
        </w:rPr>
        <w:t>.</w:t>
      </w:r>
    </w:p>
    <w:p w14:paraId="1DD16BCE" w14:textId="1A4CDAAF" w:rsidR="56AA925F" w:rsidRDefault="00BD6A7C" w:rsidP="00BD6A7C">
      <w:pPr>
        <w:spacing w:after="0" w:line="360" w:lineRule="auto"/>
        <w:rPr>
          <w:rFonts w:ascii="Times New Roman" w:hAnsi="Times New Roman" w:cs="Times New Roman"/>
        </w:rPr>
      </w:pPr>
      <w:r>
        <w:rPr>
          <w:rFonts w:ascii="Times New Roman" w:hAnsi="Times New Roman" w:cs="Times New Roman"/>
        </w:rPr>
        <w:t>Hawks</w:t>
      </w:r>
      <w:r w:rsidRPr="003A41B9">
        <w:rPr>
          <w:rFonts w:ascii="Times New Roman" w:hAnsi="Times New Roman" w:cs="Times New Roman"/>
        </w:rPr>
        <w:t xml:space="preserve">, </w:t>
      </w:r>
      <w:r>
        <w:rPr>
          <w:rFonts w:ascii="Times New Roman" w:hAnsi="Times New Roman" w:cs="Times New Roman"/>
        </w:rPr>
        <w:t>M</w:t>
      </w:r>
      <w:r w:rsidRPr="003A41B9">
        <w:rPr>
          <w:rFonts w:ascii="Times New Roman" w:hAnsi="Times New Roman" w:cs="Times New Roman"/>
        </w:rPr>
        <w:t xml:space="preserve">. and </w:t>
      </w:r>
      <w:r>
        <w:rPr>
          <w:rFonts w:ascii="Times New Roman" w:hAnsi="Times New Roman" w:cs="Times New Roman"/>
        </w:rPr>
        <w:t>S</w:t>
      </w:r>
      <w:r w:rsidRPr="003A41B9">
        <w:rPr>
          <w:rFonts w:ascii="Times New Roman" w:hAnsi="Times New Roman" w:cs="Times New Roman"/>
        </w:rPr>
        <w:t xml:space="preserve">. </w:t>
      </w:r>
      <w:r>
        <w:rPr>
          <w:rFonts w:ascii="Times New Roman" w:hAnsi="Times New Roman" w:cs="Times New Roman"/>
        </w:rPr>
        <w:t>Cho</w:t>
      </w:r>
      <w:r w:rsidRPr="003A41B9">
        <w:rPr>
          <w:rFonts w:ascii="Times New Roman" w:hAnsi="Times New Roman" w:cs="Times New Roman"/>
        </w:rPr>
        <w:t>. 202</w:t>
      </w:r>
      <w:r>
        <w:rPr>
          <w:rFonts w:ascii="Times New Roman" w:hAnsi="Times New Roman" w:cs="Times New Roman"/>
        </w:rPr>
        <w:t>6</w:t>
      </w:r>
      <w:r w:rsidRPr="003A41B9">
        <w:rPr>
          <w:rFonts w:ascii="Times New Roman" w:hAnsi="Times New Roman" w:cs="Times New Roman"/>
        </w:rPr>
        <w:t xml:space="preserve">. </w:t>
      </w:r>
      <w:r>
        <w:rPr>
          <w:rFonts w:ascii="Times New Roman" w:hAnsi="Times New Roman" w:cs="Times New Roman"/>
        </w:rPr>
        <w:t>Control Architecture for an Energy Flexible Building Dual Mechanical System with Novel Storage</w:t>
      </w:r>
      <w:r w:rsidRPr="003A41B9">
        <w:rPr>
          <w:rFonts w:ascii="Times New Roman" w:hAnsi="Times New Roman" w:cs="Times New Roman"/>
        </w:rPr>
        <w:t xml:space="preserve">. </w:t>
      </w:r>
      <w:r w:rsidRPr="003A41B9">
        <w:rPr>
          <w:rFonts w:ascii="Times New Roman" w:hAnsi="Times New Roman" w:cs="Times New Roman"/>
          <w:i/>
          <w:iCs/>
        </w:rPr>
        <w:t>ASHRAE Transactions</w:t>
      </w:r>
      <w:r w:rsidRPr="003A41B9">
        <w:rPr>
          <w:rFonts w:ascii="Times New Roman" w:hAnsi="Times New Roman" w:cs="Times New Roman"/>
        </w:rPr>
        <w:t xml:space="preserve"> 13</w:t>
      </w:r>
      <w:r>
        <w:rPr>
          <w:rFonts w:ascii="Times New Roman" w:hAnsi="Times New Roman" w:cs="Times New Roman"/>
        </w:rPr>
        <w:t>2</w:t>
      </w:r>
      <w:r w:rsidRPr="003A41B9">
        <w:rPr>
          <w:rFonts w:ascii="Times New Roman" w:hAnsi="Times New Roman" w:cs="Times New Roman"/>
        </w:rPr>
        <w:t>:</w:t>
      </w:r>
      <w:r>
        <w:rPr>
          <w:rFonts w:ascii="Times New Roman" w:hAnsi="Times New Roman" w:cs="Times New Roman"/>
        </w:rPr>
        <w:t>LV-26-094</w:t>
      </w:r>
      <w:r w:rsidRPr="003A41B9">
        <w:rPr>
          <w:rFonts w:ascii="Times New Roman" w:hAnsi="Times New Roman" w:cs="Times New Roman"/>
        </w:rPr>
        <w:t>.</w:t>
      </w:r>
    </w:p>
    <w:p w14:paraId="4B84268C" w14:textId="77777777" w:rsidR="00BD6A7C" w:rsidRPr="00BD6A7C" w:rsidRDefault="00BD6A7C" w:rsidP="00BD6A7C">
      <w:pPr>
        <w:spacing w:after="0" w:line="360" w:lineRule="auto"/>
        <w:rPr>
          <w:rFonts w:ascii="Times New Roman" w:hAnsi="Times New Roman" w:cs="Times New Roman"/>
        </w:rPr>
      </w:pPr>
    </w:p>
    <w:p w14:paraId="5A34EE3B" w14:textId="19C5DB60" w:rsidR="00C45CB3" w:rsidRPr="00AF55BB" w:rsidRDefault="00AF55BB" w:rsidP="00C45CB3">
      <w:pPr>
        <w:rPr>
          <w:rFonts w:eastAsia="Malgun Gothic"/>
          <w:b/>
        </w:rPr>
      </w:pPr>
      <w:r w:rsidRPr="00AF55BB">
        <w:rPr>
          <w:rFonts w:eastAsia="Malgun Gothic" w:hint="eastAsia"/>
          <w:b/>
          <w:bCs/>
        </w:rPr>
        <w:t xml:space="preserve">Building Geometry and Energy Modeling of </w:t>
      </w:r>
      <w:r w:rsidR="00C45CB3" w:rsidRPr="00AF55BB">
        <w:rPr>
          <w:rFonts w:hint="eastAsia"/>
          <w:b/>
          <w:bCs/>
        </w:rPr>
        <w:t xml:space="preserve">Hunt Library </w:t>
      </w:r>
    </w:p>
    <w:p w14:paraId="1586E5A3" w14:textId="12D38F39" w:rsidR="00940C76" w:rsidRPr="00940C76" w:rsidRDefault="00940C76" w:rsidP="00940C76">
      <w:pPr>
        <w:rPr>
          <w:rFonts w:eastAsia="Malgun Gothic"/>
        </w:rPr>
      </w:pPr>
      <w:r w:rsidRPr="00940C76">
        <w:rPr>
          <w:rFonts w:eastAsia="Malgun Gothic"/>
        </w:rPr>
        <w:t xml:space="preserve">The James B. Hunt Jr. Library at </w:t>
      </w:r>
      <w:r>
        <w:rPr>
          <w:rFonts w:eastAsia="Malgun Gothic" w:hint="eastAsia"/>
        </w:rPr>
        <w:t>NCSU</w:t>
      </w:r>
      <w:r w:rsidRPr="00940C76">
        <w:rPr>
          <w:rFonts w:eastAsia="Malgun Gothic"/>
        </w:rPr>
        <w:t xml:space="preserve"> is a flagship academic facility designed to support advanced research, digital scholarship, and collaborative learning. The building features a highly flexible interior layout, extensive glazing, and a technology</w:t>
      </w:r>
      <w:r w:rsidRPr="00940C76">
        <w:rPr>
          <w:rFonts w:ascii="Cambria Math" w:eastAsia="Malgun Gothic" w:hAnsi="Cambria Math" w:cs="Cambria Math"/>
        </w:rPr>
        <w:t>‑</w:t>
      </w:r>
      <w:r w:rsidRPr="00940C76">
        <w:rPr>
          <w:rFonts w:eastAsia="Malgun Gothic"/>
        </w:rPr>
        <w:t>rich environment that integrates visualization labs, maker spaces, and automated book storage systems. Its architectural design emphasizes daylight access, occupant comfort, and spatial adaptability, making it a representative example of contemporary high</w:t>
      </w:r>
      <w:r w:rsidRPr="00940C76">
        <w:rPr>
          <w:rFonts w:ascii="Cambria Math" w:eastAsia="Malgun Gothic" w:hAnsi="Cambria Math" w:cs="Cambria Math"/>
        </w:rPr>
        <w:t>‑</w:t>
      </w:r>
      <w:r w:rsidRPr="00940C76">
        <w:rPr>
          <w:rFonts w:eastAsia="Malgun Gothic"/>
        </w:rPr>
        <w:t>performance academic buildings.</w:t>
      </w:r>
    </w:p>
    <w:p w14:paraId="61C59671" w14:textId="56FAAC9A" w:rsidR="001D6F43" w:rsidRPr="001D6F43" w:rsidRDefault="00940C76" w:rsidP="00C45CB3">
      <w:pPr>
        <w:rPr>
          <w:rFonts w:eastAsia="Malgun Gothic" w:hint="eastAsia"/>
        </w:rPr>
      </w:pPr>
      <w:r>
        <w:rPr>
          <w:rFonts w:eastAsia="Malgun Gothic" w:hint="eastAsia"/>
        </w:rPr>
        <w:t>The</w:t>
      </w:r>
      <w:r w:rsidRPr="00940C76">
        <w:rPr>
          <w:rFonts w:eastAsia="Malgun Gothic"/>
        </w:rPr>
        <w:t xml:space="preserve"> Hunt Library operates with a modern HVAC configuration that includes variable</w:t>
      </w:r>
      <w:r w:rsidRPr="00940C76">
        <w:rPr>
          <w:rFonts w:ascii="Cambria Math" w:eastAsia="Malgun Gothic" w:hAnsi="Cambria Math" w:cs="Cambria Math"/>
        </w:rPr>
        <w:t>‑</w:t>
      </w:r>
      <w:r w:rsidRPr="00940C76">
        <w:rPr>
          <w:rFonts w:eastAsia="Malgun Gothic"/>
        </w:rPr>
        <w:t>air</w:t>
      </w:r>
      <w:r w:rsidRPr="00940C76">
        <w:rPr>
          <w:rFonts w:ascii="Cambria Math" w:eastAsia="Malgun Gothic" w:hAnsi="Cambria Math" w:cs="Cambria Math"/>
        </w:rPr>
        <w:t>‑</w:t>
      </w:r>
      <w:r w:rsidRPr="00940C76">
        <w:rPr>
          <w:rFonts w:eastAsia="Malgun Gothic"/>
        </w:rPr>
        <w:t>volume (VAV) air handling units, demand</w:t>
      </w:r>
      <w:r w:rsidRPr="00940C76">
        <w:rPr>
          <w:rFonts w:ascii="Cambria Math" w:eastAsia="Malgun Gothic" w:hAnsi="Cambria Math" w:cs="Cambria Math"/>
        </w:rPr>
        <w:t>‑</w:t>
      </w:r>
      <w:r w:rsidRPr="00940C76">
        <w:rPr>
          <w:rFonts w:eastAsia="Malgun Gothic"/>
        </w:rPr>
        <w:t>controlled ventilation, and hydronic heating and cooling distribution. The building incorporates high</w:t>
      </w:r>
      <w:r w:rsidRPr="00940C76">
        <w:rPr>
          <w:rFonts w:ascii="Cambria Math" w:eastAsia="Malgun Gothic" w:hAnsi="Cambria Math" w:cs="Cambria Math"/>
        </w:rPr>
        <w:t>‑</w:t>
      </w:r>
      <w:r w:rsidRPr="00940C76">
        <w:rPr>
          <w:rFonts w:eastAsia="Malgun Gothic"/>
        </w:rPr>
        <w:t>efficiency chillers and boilers connected to the campus district energy network, enabling stable thermal supply and optimized load management. Advanced building automation systems (BAS) support continuous monitoring of indoor environmental conditions, scheduling, and energy</w:t>
      </w:r>
      <w:r w:rsidRPr="00940C76">
        <w:rPr>
          <w:rFonts w:ascii="Cambria Math" w:eastAsia="Malgun Gothic" w:hAnsi="Cambria Math" w:cs="Cambria Math"/>
        </w:rPr>
        <w:t>‑</w:t>
      </w:r>
      <w:r w:rsidRPr="00940C76">
        <w:rPr>
          <w:rFonts w:eastAsia="Malgun Gothic"/>
        </w:rPr>
        <w:t>efficient operation.</w:t>
      </w:r>
      <w:r>
        <w:rPr>
          <w:rFonts w:eastAsia="Malgun Gothic" w:hint="eastAsia"/>
        </w:rPr>
        <w:t xml:space="preserve"> The Hunt Library </w:t>
      </w:r>
      <w:r>
        <w:rPr>
          <w:rFonts w:eastAsia="Malgun Gothic"/>
        </w:rPr>
        <w:t>building</w:t>
      </w:r>
      <w:r>
        <w:rPr>
          <w:rFonts w:eastAsia="Malgun Gothic" w:hint="eastAsia"/>
        </w:rPr>
        <w:t xml:space="preserve"> energy model is currently under development.</w:t>
      </w:r>
    </w:p>
    <w:p w14:paraId="2821101A" w14:textId="1D8C69AA" w:rsidR="005D639B" w:rsidRDefault="00211313" w:rsidP="00940C76">
      <w:pPr>
        <w:rPr>
          <w:rFonts w:eastAsia="Malgun Gothic"/>
        </w:rPr>
      </w:pPr>
      <w:r w:rsidRPr="00211313">
        <w:rPr>
          <w:noProof/>
        </w:rPr>
        <w:t xml:space="preserve"> </w:t>
      </w:r>
      <w:r w:rsidR="001D5CF7" w:rsidRPr="001D5CF7">
        <w:rPr>
          <w:noProof/>
        </w:rPr>
        <w:drawing>
          <wp:inline distT="0" distB="0" distL="0" distR="0" wp14:anchorId="2EBE5F1F" wp14:editId="28D75163">
            <wp:extent cx="5943600" cy="1281430"/>
            <wp:effectExtent l="0" t="0" r="0" b="0"/>
            <wp:docPr id="711936017" name="그림 1" descr="The image shows a modern, multi-story office building with a large, sleek design and an adjacent, partially completed construction site.&#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36017" name="그림 1" descr="The image shows a modern, multi-story office building with a large, sleek design and an adjacent, partially completed construction site.&#10;&#10;AI 생성 콘텐츠는 정확하지 않을 수 있습니다."/>
                    <pic:cNvPicPr/>
                  </pic:nvPicPr>
                  <pic:blipFill>
                    <a:blip r:embed="rId13"/>
                    <a:stretch>
                      <a:fillRect/>
                    </a:stretch>
                  </pic:blipFill>
                  <pic:spPr>
                    <a:xfrm>
                      <a:off x="0" y="0"/>
                      <a:ext cx="5943600" cy="1281430"/>
                    </a:xfrm>
                    <a:prstGeom prst="rect">
                      <a:avLst/>
                    </a:prstGeom>
                  </pic:spPr>
                </pic:pic>
              </a:graphicData>
            </a:graphic>
          </wp:inline>
        </w:drawing>
      </w:r>
    </w:p>
    <w:p w14:paraId="53FE492F" w14:textId="77777777" w:rsidR="00D42F8A" w:rsidRPr="00940C76" w:rsidRDefault="00D42F8A" w:rsidP="00940C76">
      <w:pPr>
        <w:rPr>
          <w:rFonts w:eastAsia="Malgun Gothic" w:hint="eastAsia"/>
        </w:rPr>
      </w:pPr>
    </w:p>
    <w:p w14:paraId="37AAE494" w14:textId="670186F4" w:rsidR="00CF3C40" w:rsidRPr="00BC4AD6" w:rsidRDefault="00BC4AD6" w:rsidP="00CF3C40">
      <w:pPr>
        <w:rPr>
          <w:b/>
        </w:rPr>
      </w:pPr>
      <w:r w:rsidRPr="00BC4AD6">
        <w:rPr>
          <w:rFonts w:eastAsia="Malgun Gothic" w:hint="eastAsia"/>
          <w:b/>
          <w:bCs/>
        </w:rPr>
        <w:t xml:space="preserve">Building Geometry and Energy Modeling of </w:t>
      </w:r>
      <w:r w:rsidR="00CF3C40" w:rsidRPr="00BC4AD6">
        <w:rPr>
          <w:rFonts w:eastAsia="Malgun Gothic" w:hint="eastAsia"/>
          <w:b/>
          <w:bCs/>
        </w:rPr>
        <w:t>Textile Complex Building</w:t>
      </w:r>
      <w:r w:rsidR="00CF3C40" w:rsidRPr="00BC4AD6">
        <w:rPr>
          <w:rFonts w:hint="eastAsia"/>
          <w:b/>
          <w:bCs/>
        </w:rPr>
        <w:t xml:space="preserve"> </w:t>
      </w:r>
    </w:p>
    <w:p w14:paraId="64590D1E" w14:textId="3B60DEF0" w:rsidR="002D23C3" w:rsidRPr="002D23C3" w:rsidRDefault="002D23C3" w:rsidP="002D23C3">
      <w:pPr>
        <w:rPr>
          <w:rFonts w:eastAsia="Malgun Gothic"/>
        </w:rPr>
      </w:pPr>
      <w:r w:rsidRPr="002D23C3">
        <w:rPr>
          <w:rFonts w:eastAsia="Malgun Gothic"/>
        </w:rPr>
        <w:t xml:space="preserve">The Textile Complex at </w:t>
      </w:r>
      <w:r>
        <w:rPr>
          <w:rFonts w:eastAsia="Malgun Gothic" w:hint="eastAsia"/>
        </w:rPr>
        <w:t xml:space="preserve">NCSU </w:t>
      </w:r>
      <w:r w:rsidRPr="002D23C3">
        <w:rPr>
          <w:rFonts w:eastAsia="Malgun Gothic"/>
        </w:rPr>
        <w:t>serves as the primary academic and research hub for the Wilson College of Textiles. The facility consists of several interconnected buildings organized around a central courtyard, housing classrooms, research laboratories, pilot</w:t>
      </w:r>
      <w:r w:rsidRPr="002D23C3">
        <w:rPr>
          <w:rFonts w:eastAsia="Malgun Gothic"/>
        </w:rPr>
        <w:noBreakHyphen/>
        <w:t>scale manufacturing spaces, and industry</w:t>
      </w:r>
      <w:r w:rsidRPr="002D23C3">
        <w:rPr>
          <w:rFonts w:eastAsia="Malgun Gothic"/>
        </w:rPr>
        <w:noBreakHyphen/>
        <w:t xml:space="preserve">engaged extension programs. </w:t>
      </w:r>
    </w:p>
    <w:p w14:paraId="47592059" w14:textId="1D419898" w:rsidR="002D23C3" w:rsidRPr="002D23C3" w:rsidRDefault="002D23C3" w:rsidP="002D23C3">
      <w:pPr>
        <w:rPr>
          <w:rFonts w:eastAsia="Malgun Gothic"/>
        </w:rPr>
      </w:pPr>
      <w:r w:rsidRPr="002D23C3">
        <w:rPr>
          <w:rFonts w:eastAsia="Malgun Gothic"/>
        </w:rPr>
        <w:t>From a systems perspective, the complex accommodates laboratory</w:t>
      </w:r>
      <w:r w:rsidRPr="002D23C3">
        <w:rPr>
          <w:rFonts w:eastAsia="Malgun Gothic"/>
        </w:rPr>
        <w:noBreakHyphen/>
        <w:t>intensive textile engineering and materials research, requiring specialized HVAC configurations such as high</w:t>
      </w:r>
      <w:r w:rsidRPr="002D23C3">
        <w:rPr>
          <w:rFonts w:eastAsia="Malgun Gothic"/>
        </w:rPr>
        <w:noBreakHyphen/>
        <w:t>capacity ventilation, humidity</w:t>
      </w:r>
      <w:r w:rsidRPr="002D23C3">
        <w:rPr>
          <w:rFonts w:eastAsia="Malgun Gothic"/>
        </w:rPr>
        <w:noBreakHyphen/>
        <w:t>controlled environments, and dedicated exhaust systems for dyeing, chemical processing, and fiber fabrication. Public and multipurpose spaces</w:t>
      </w:r>
      <w:r w:rsidR="00F61443">
        <w:rPr>
          <w:rFonts w:eastAsia="Malgun Gothic" w:hint="eastAsia"/>
        </w:rPr>
        <w:t xml:space="preserve"> </w:t>
      </w:r>
      <w:r w:rsidR="00F61443">
        <w:rPr>
          <w:rFonts w:eastAsia="Malgun Gothic"/>
        </w:rPr>
        <w:t>–</w:t>
      </w:r>
      <w:r w:rsidR="00F61443">
        <w:rPr>
          <w:rFonts w:eastAsia="Malgun Gothic" w:hint="eastAsia"/>
        </w:rPr>
        <w:t xml:space="preserve"> </w:t>
      </w:r>
      <w:r w:rsidRPr="002D23C3">
        <w:rPr>
          <w:rFonts w:eastAsia="Malgun Gothic"/>
        </w:rPr>
        <w:t>including atria and event areas</w:t>
      </w:r>
      <w:r w:rsidR="00F61443">
        <w:rPr>
          <w:rFonts w:eastAsia="Malgun Gothic" w:hint="eastAsia"/>
        </w:rPr>
        <w:t xml:space="preserve"> </w:t>
      </w:r>
      <w:r w:rsidR="00F61443">
        <w:rPr>
          <w:rFonts w:eastAsia="Malgun Gothic"/>
        </w:rPr>
        <w:t>–</w:t>
      </w:r>
      <w:r w:rsidR="00F61443">
        <w:rPr>
          <w:rFonts w:eastAsia="Malgun Gothic" w:hint="eastAsia"/>
        </w:rPr>
        <w:t xml:space="preserve"> </w:t>
      </w:r>
      <w:r w:rsidRPr="002D23C3">
        <w:rPr>
          <w:rFonts w:eastAsia="Malgun Gothic"/>
        </w:rPr>
        <w:t>are supported by campus</w:t>
      </w:r>
      <w:r w:rsidRPr="002D23C3">
        <w:rPr>
          <w:rFonts w:eastAsia="Malgun Gothic"/>
        </w:rPr>
        <w:noBreakHyphen/>
        <w:t xml:space="preserve">standard building automation systems (BAS) that manage air distribution, lighting, and environmental stability. </w:t>
      </w:r>
      <w:r w:rsidR="00B15907">
        <w:rPr>
          <w:rFonts w:eastAsia="Malgun Gothic" w:hint="eastAsia"/>
        </w:rPr>
        <w:t>The Textile Complex Building</w:t>
      </w:r>
      <w:r w:rsidR="00F61443">
        <w:rPr>
          <w:rFonts w:eastAsia="Malgun Gothic" w:hint="eastAsia"/>
        </w:rPr>
        <w:t xml:space="preserve"> </w:t>
      </w:r>
      <w:r w:rsidR="00B15907">
        <w:rPr>
          <w:rFonts w:eastAsia="Malgun Gothic" w:hint="eastAsia"/>
        </w:rPr>
        <w:t>energy model is currently under development.</w:t>
      </w:r>
    </w:p>
    <w:p w14:paraId="7CC4116E" w14:textId="1153EEB0" w:rsidR="00CF3C40" w:rsidRDefault="00F270EA" w:rsidP="00940C76">
      <w:pPr>
        <w:rPr>
          <w:rFonts w:eastAsia="Malgun Gothic"/>
        </w:rPr>
      </w:pPr>
      <w:r w:rsidRPr="00F270EA">
        <w:rPr>
          <w:rFonts w:eastAsia="Malgun Gothic"/>
        </w:rPr>
        <w:drawing>
          <wp:inline distT="0" distB="0" distL="0" distR="0" wp14:anchorId="5BF89866" wp14:editId="5593B351">
            <wp:extent cx="5943600" cy="1206500"/>
            <wp:effectExtent l="0" t="0" r="0" b="0"/>
            <wp:docPr id="192670660" name="그림 1" descr="The image shows a 3D architectural rendering of a modern building with a large, rectangular footprint, featuring a mix of yellow and brown colors, and a roof with a distinctive gable style.&#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0660" name="그림 1" descr="The image shows a 3D architectural rendering of a modern building with a large, rectangular footprint, featuring a mix of yellow and brown colors, and a roof with a distinctive gable style.&#10;&#10;AI 생성 콘텐츠는 정확하지 않을 수 있습니다."/>
                    <pic:cNvPicPr/>
                  </pic:nvPicPr>
                  <pic:blipFill>
                    <a:blip r:embed="rId14"/>
                    <a:stretch>
                      <a:fillRect/>
                    </a:stretch>
                  </pic:blipFill>
                  <pic:spPr>
                    <a:xfrm>
                      <a:off x="0" y="0"/>
                      <a:ext cx="5943600" cy="1206500"/>
                    </a:xfrm>
                    <a:prstGeom prst="rect">
                      <a:avLst/>
                    </a:prstGeom>
                  </pic:spPr>
                </pic:pic>
              </a:graphicData>
            </a:graphic>
          </wp:inline>
        </w:drawing>
      </w:r>
    </w:p>
    <w:p w14:paraId="7E3E50B3" w14:textId="77777777" w:rsidR="00CF3C40" w:rsidRPr="00940C76" w:rsidRDefault="00CF3C40" w:rsidP="00940C76">
      <w:pPr>
        <w:rPr>
          <w:rFonts w:eastAsia="Malgun Gothic" w:hint="eastAsia"/>
        </w:rPr>
      </w:pPr>
    </w:p>
    <w:p w14:paraId="3BA4252D" w14:textId="29C93E4E" w:rsidR="00C45CB3" w:rsidRDefault="00C2276A" w:rsidP="00C45CB3">
      <w:r w:rsidRPr="00BC4AD6">
        <w:rPr>
          <w:rFonts w:eastAsia="Malgun Gothic" w:hint="eastAsia"/>
          <w:b/>
          <w:bCs/>
        </w:rPr>
        <w:t xml:space="preserve">Building Geometry and Energy Modeling of </w:t>
      </w:r>
      <w:r w:rsidR="00C45CB3" w:rsidRPr="00C2276A">
        <w:rPr>
          <w:rFonts w:hint="eastAsia"/>
          <w:b/>
          <w:bCs/>
        </w:rPr>
        <w:t>Solar House</w:t>
      </w:r>
    </w:p>
    <w:p w14:paraId="112C9E9A" w14:textId="77777777" w:rsidR="00555C10" w:rsidRPr="00555C10" w:rsidRDefault="00555C10" w:rsidP="00555C10">
      <w:pPr>
        <w:rPr>
          <w:rFonts w:eastAsia="Malgun Gothic"/>
        </w:rPr>
      </w:pPr>
      <w:r w:rsidRPr="00555C10">
        <w:rPr>
          <w:rFonts w:eastAsia="Malgun Gothic"/>
        </w:rPr>
        <w:t>The NCSU Solar House is a demonstration residence designed to showcase passive and active solar design strategies, renewable energy integration, and sustainable residential construction. The building incorporates a compact form, optimized solar orientation, and a combination of passive heating, shading, and natural ventilation features. Its architectural configuration supports hands</w:t>
      </w:r>
      <w:r w:rsidRPr="00555C10">
        <w:rPr>
          <w:rFonts w:eastAsia="Malgun Gothic"/>
        </w:rPr>
        <w:noBreakHyphen/>
        <w:t>on research and education related to residential energy performance, renewable technologies, and building</w:t>
      </w:r>
      <w:r w:rsidRPr="00555C10">
        <w:rPr>
          <w:rFonts w:eastAsia="Malgun Gothic"/>
        </w:rPr>
        <w:noBreakHyphen/>
        <w:t>scale sustainability strategies.</w:t>
      </w:r>
    </w:p>
    <w:p w14:paraId="40FD0557" w14:textId="44921E29" w:rsidR="005906B6" w:rsidRDefault="00555C10" w:rsidP="00C45CB3">
      <w:pPr>
        <w:rPr>
          <w:rFonts w:eastAsia="Malgun Gothic"/>
        </w:rPr>
      </w:pPr>
      <w:r w:rsidRPr="00555C10">
        <w:rPr>
          <w:rFonts w:eastAsia="Malgun Gothic"/>
        </w:rPr>
        <w:t>The Solar House’s mechanical and electrical systems are centered around solar energy utilization, including rooftop photovoltaic (PV) panels and solar thermal collectors for domestic hot water. The HVAC system typically consists of a high</w:t>
      </w:r>
      <w:r w:rsidRPr="00555C10">
        <w:rPr>
          <w:rFonts w:eastAsia="Malgun Gothic"/>
        </w:rPr>
        <w:noBreakHyphen/>
        <w:t>efficiency heat pump, supplemented by natural ventilation and envelope</w:t>
      </w:r>
      <w:r w:rsidRPr="00555C10">
        <w:rPr>
          <w:rFonts w:eastAsia="Malgun Gothic"/>
        </w:rPr>
        <w:noBreakHyphen/>
        <w:t>driven thermal performance. Energy monitoring equipment and small</w:t>
      </w:r>
      <w:r w:rsidRPr="00555C10">
        <w:rPr>
          <w:rFonts w:eastAsia="Malgun Gothic"/>
        </w:rPr>
        <w:noBreakHyphen/>
        <w:t>scale control systems enable real</w:t>
      </w:r>
      <w:r w:rsidRPr="00555C10">
        <w:rPr>
          <w:rFonts w:eastAsia="Malgun Gothic"/>
        </w:rPr>
        <w:noBreakHyphen/>
        <w:t xml:space="preserve">time measurement of electricity generation, thermal loads, and indoor environmental conditions. </w:t>
      </w:r>
      <w:r>
        <w:rPr>
          <w:rFonts w:eastAsia="Malgun Gothic" w:hint="eastAsia"/>
        </w:rPr>
        <w:t>The Solar House building energy model is under validation process.</w:t>
      </w:r>
    </w:p>
    <w:p w14:paraId="4C3328C8" w14:textId="392A5224" w:rsidR="002C1779" w:rsidRDefault="00DC01AE" w:rsidP="00C45CB3">
      <w:pPr>
        <w:rPr>
          <w:rFonts w:eastAsia="Malgun Gothic"/>
        </w:rPr>
      </w:pPr>
      <w:r w:rsidRPr="00DC01AE">
        <w:rPr>
          <w:rFonts w:eastAsia="Malgun Gothic"/>
        </w:rPr>
        <w:drawing>
          <wp:inline distT="0" distB="0" distL="0" distR="0" wp14:anchorId="57B42F70" wp14:editId="3EF8CEAD">
            <wp:extent cx="5943600" cy="1922145"/>
            <wp:effectExtent l="0" t="0" r="0" b="1905"/>
            <wp:docPr id="1967644277" name="그림 1" descr="The image shows a house with solar panels on the roof and a neighboring house with a green roof and solar panel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44277" name="그림 1" descr="The image shows a house with solar panels on the roof and a neighboring house with a green roof and solar panels.&#10;&#10;AI 생성 콘텐츠는 정확하지 않을 수 있습니다."/>
                    <pic:cNvPicPr/>
                  </pic:nvPicPr>
                  <pic:blipFill>
                    <a:blip r:embed="rId15"/>
                    <a:stretch>
                      <a:fillRect/>
                    </a:stretch>
                  </pic:blipFill>
                  <pic:spPr>
                    <a:xfrm>
                      <a:off x="0" y="0"/>
                      <a:ext cx="5943600" cy="1922145"/>
                    </a:xfrm>
                    <a:prstGeom prst="rect">
                      <a:avLst/>
                    </a:prstGeom>
                  </pic:spPr>
                </pic:pic>
              </a:graphicData>
            </a:graphic>
          </wp:inline>
        </w:drawing>
      </w:r>
    </w:p>
    <w:p w14:paraId="12988C86" w14:textId="670CAEF0" w:rsidR="00105AE2" w:rsidRPr="001B5EAD" w:rsidRDefault="00BC6D32" w:rsidP="00C45CB3">
      <w:pPr>
        <w:rPr>
          <w:rFonts w:eastAsia="Malgun Gothic"/>
          <w:b/>
          <w:bCs/>
        </w:rPr>
      </w:pPr>
      <w:r w:rsidRPr="001B5EAD">
        <w:rPr>
          <w:rFonts w:eastAsia="Malgun Gothic" w:hint="eastAsia"/>
          <w:b/>
          <w:bCs/>
        </w:rPr>
        <w:t>Etc</w:t>
      </w:r>
    </w:p>
    <w:p w14:paraId="3ACCDFB0" w14:textId="0BD8AE04" w:rsidR="005B43BA" w:rsidRPr="00D958E4" w:rsidRDefault="00CD16BF" w:rsidP="00CD16BF">
      <w:pPr>
        <w:rPr>
          <w:b/>
        </w:rPr>
      </w:pPr>
      <w:r w:rsidRPr="00CD16BF">
        <w:rPr>
          <w:b/>
          <w:bCs/>
        </w:rPr>
        <w:t>Physics-Informed</w:t>
      </w:r>
      <w:r w:rsidR="00D958E4">
        <w:rPr>
          <w:rFonts w:hint="eastAsia"/>
          <w:b/>
          <w:bCs/>
        </w:rPr>
        <w:t xml:space="preserve"> </w:t>
      </w:r>
      <w:r w:rsidRPr="00CD16BF">
        <w:rPr>
          <w:b/>
          <w:bCs/>
        </w:rPr>
        <w:t>Neural Network</w:t>
      </w:r>
      <w:r w:rsidR="00296432">
        <w:rPr>
          <w:rFonts w:hint="eastAsia"/>
          <w:b/>
          <w:bCs/>
        </w:rPr>
        <w:t>s</w:t>
      </w:r>
      <w:r w:rsidR="00C37931">
        <w:rPr>
          <w:rFonts w:hint="eastAsia"/>
          <w:b/>
          <w:bCs/>
        </w:rPr>
        <w:t xml:space="preserve"> (PINNs)</w:t>
      </w:r>
      <w:r w:rsidRPr="00CD16BF">
        <w:rPr>
          <w:b/>
          <w:bCs/>
        </w:rPr>
        <w:t xml:space="preserve"> Model</w:t>
      </w:r>
    </w:p>
    <w:p w14:paraId="05952DB6" w14:textId="14C12DA3" w:rsidR="00C86762" w:rsidRDefault="0072792C" w:rsidP="009D70ED">
      <w:pPr>
        <w:jc w:val="both"/>
      </w:pPr>
      <w:r w:rsidRPr="0072792C">
        <w:t xml:space="preserve">The Physics-Informed Neural Network (PINN) model combines data-driven learning with physical principles, such as thermodynamics and heat transfer, to predict building thermal dynamics with improved accuracy and data efficiency. By integrating </w:t>
      </w:r>
      <w:r w:rsidR="00C91535">
        <w:rPr>
          <w:rFonts w:hint="eastAsia"/>
        </w:rPr>
        <w:t xml:space="preserve">calibrated </w:t>
      </w:r>
      <w:r w:rsidRPr="0072792C">
        <w:t>EnergyPlus simulation data with an RC thermal network model, the PINN can maintain physical consistency while requiring less training data than a purely data-driven model. When coupled with Model Predictive Control (MPC), it enables optimized HVAC setpoint control and improved cooling energy efficiency.</w:t>
      </w:r>
    </w:p>
    <w:p w14:paraId="438038B3" w14:textId="3D9C8831" w:rsidR="002632C6" w:rsidRDefault="002632C6" w:rsidP="005B4D4D">
      <w:pPr>
        <w:jc w:val="center"/>
      </w:pPr>
    </w:p>
    <w:p w14:paraId="275D5582" w14:textId="117152C0" w:rsidR="006A3B0F" w:rsidRDefault="006A3B0F" w:rsidP="005B4D4D">
      <w:pPr>
        <w:jc w:val="center"/>
      </w:pPr>
      <w:r w:rsidRPr="006A3B0F">
        <w:drawing>
          <wp:inline distT="0" distB="0" distL="0" distR="0" wp14:anchorId="08D8726F" wp14:editId="0686C80B">
            <wp:extent cx="4317728" cy="2627540"/>
            <wp:effectExtent l="0" t="0" r="6985" b="1905"/>
            <wp:docPr id="480299796" name="Picture 1">
              <a:extLst xmlns:a="http://schemas.openxmlformats.org/drawingml/2006/main">
                <a:ext uri="{FF2B5EF4-FFF2-40B4-BE49-F238E27FC236}">
                  <a16:creationId xmlns:a16="http://schemas.microsoft.com/office/drawing/2014/main" id="{B4DA2277-4C8A-456B-8DE0-E7340259D5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24488" name=""/>
                    <pic:cNvPicPr/>
                  </pic:nvPicPr>
                  <pic:blipFill>
                    <a:blip r:embed="rId16"/>
                    <a:stretch>
                      <a:fillRect/>
                    </a:stretch>
                  </pic:blipFill>
                  <pic:spPr>
                    <a:xfrm>
                      <a:off x="0" y="0"/>
                      <a:ext cx="4326832" cy="2633080"/>
                    </a:xfrm>
                    <a:prstGeom prst="rect">
                      <a:avLst/>
                    </a:prstGeom>
                  </pic:spPr>
                </pic:pic>
              </a:graphicData>
            </a:graphic>
          </wp:inline>
        </w:drawing>
      </w:r>
    </w:p>
    <w:p w14:paraId="352FE375" w14:textId="6A3C5387" w:rsidR="000C2A14" w:rsidRPr="00567BB6" w:rsidRDefault="000C2A14" w:rsidP="00C45CB3">
      <w:pPr>
        <w:rPr>
          <w:b/>
        </w:rPr>
      </w:pPr>
      <w:r w:rsidRPr="00567BB6">
        <w:rPr>
          <w:b/>
        </w:rPr>
        <w:t>References</w:t>
      </w:r>
    </w:p>
    <w:p w14:paraId="61DA9580" w14:textId="77777777" w:rsidR="00E61C40" w:rsidRDefault="00D36602" w:rsidP="00D36602">
      <w:pPr>
        <w:pStyle w:val="ListParagraph"/>
        <w:numPr>
          <w:ilvl w:val="0"/>
          <w:numId w:val="3"/>
        </w:numPr>
      </w:pPr>
      <w:r>
        <w:rPr>
          <w:rFonts w:hint="eastAsia"/>
        </w:rPr>
        <w:t>PINNs Model</w:t>
      </w:r>
    </w:p>
    <w:p w14:paraId="773075CA" w14:textId="11040258" w:rsidR="00E02315" w:rsidRDefault="00E02315" w:rsidP="00E61C40">
      <w:pPr>
        <w:pStyle w:val="ListParagraph"/>
        <w:numPr>
          <w:ilvl w:val="1"/>
          <w:numId w:val="3"/>
        </w:numPr>
      </w:pPr>
      <w:r w:rsidRPr="00E02315">
        <w:t>Juwan Ha., Seungmin Lee., Yujin Kim., &amp; Soolyeon Cho. (2025). Improving energy and data efficiency in factory building: A physics-informed neural networks-based model predictive control (PINNs-based MPC) approach. ASHRAE Transactions, 131, 670–678.</w:t>
      </w:r>
    </w:p>
    <w:p w14:paraId="1D80A3F2" w14:textId="6D29CD2A" w:rsidR="009A0006" w:rsidRDefault="00BC6D32" w:rsidP="00C45CB3">
      <w:r>
        <w:rPr>
          <w:rFonts w:hint="eastAsia"/>
        </w:rPr>
        <w:t>Commercial Building</w:t>
      </w:r>
    </w:p>
    <w:p w14:paraId="07B78BC8" w14:textId="0F385537" w:rsidR="00BC6D32" w:rsidRDefault="00BC6D32" w:rsidP="00BC6D32">
      <w:pPr>
        <w:pStyle w:val="ListParagraph"/>
        <w:numPr>
          <w:ilvl w:val="0"/>
          <w:numId w:val="1"/>
        </w:numPr>
      </w:pPr>
      <w:r>
        <w:rPr>
          <w:rFonts w:hint="eastAsia"/>
        </w:rPr>
        <w:t>VRF</w:t>
      </w:r>
      <w:r w:rsidR="00D8683D">
        <w:rPr>
          <w:rFonts w:hint="eastAsia"/>
        </w:rPr>
        <w:t>-HP</w:t>
      </w:r>
      <w:r>
        <w:rPr>
          <w:rFonts w:hint="eastAsia"/>
        </w:rPr>
        <w:t xml:space="preserve"> System</w:t>
      </w:r>
    </w:p>
    <w:p w14:paraId="6FA26CDF" w14:textId="5F2F2EEE" w:rsidR="00BC6D32" w:rsidRDefault="00533E72" w:rsidP="00BC6D32">
      <w:pPr>
        <w:pStyle w:val="ListParagraph"/>
        <w:numPr>
          <w:ilvl w:val="1"/>
          <w:numId w:val="1"/>
        </w:numPr>
      </w:pPr>
      <w:r w:rsidRPr="00533E72">
        <w:t>Seo, B., Yoon, Y. B., Yu, B. H., Cho, S., &amp; Lee, K. H. (2020). Comparative analysis of cooling energy performance between water-cooled VRF and conventional AHU systems in a commercial building. Applied Thermal Engineering, 170, 114992.</w:t>
      </w:r>
    </w:p>
    <w:p w14:paraId="189A4A32" w14:textId="230436B3" w:rsidR="00BC6D32" w:rsidRDefault="00FF36D9" w:rsidP="00BC6D32">
      <w:pPr>
        <w:pStyle w:val="ListParagraph"/>
        <w:numPr>
          <w:ilvl w:val="0"/>
          <w:numId w:val="1"/>
        </w:numPr>
      </w:pPr>
      <w:r>
        <w:rPr>
          <w:rFonts w:hint="eastAsia"/>
        </w:rPr>
        <w:t>AHU</w:t>
      </w:r>
      <w:r w:rsidR="00BC6D32">
        <w:rPr>
          <w:rFonts w:hint="eastAsia"/>
        </w:rPr>
        <w:t xml:space="preserve"> System</w:t>
      </w:r>
    </w:p>
    <w:p w14:paraId="35855FC8" w14:textId="2E81EB9D" w:rsidR="00943E56" w:rsidRDefault="002C1779" w:rsidP="00943E56">
      <w:pPr>
        <w:pStyle w:val="ListParagraph"/>
        <w:numPr>
          <w:ilvl w:val="1"/>
          <w:numId w:val="1"/>
        </w:numPr>
      </w:pPr>
      <w:r w:rsidRPr="002C1779">
        <w:t xml:space="preserve">Seo, B., Yoon, Y., Lee, K. H., &amp; Cho, S. (2023). Comparative analysis of ANN and LSTM prediction accuracy and cooling energy savings through AHU-DAT control in an office building. </w:t>
      </w:r>
      <w:r w:rsidRPr="002C1779">
        <w:rPr>
          <w:i/>
          <w:iCs/>
        </w:rPr>
        <w:t>Buildings, 13</w:t>
      </w:r>
      <w:r w:rsidRPr="002C1779">
        <w:t>(6), 1434.</w:t>
      </w:r>
    </w:p>
    <w:p w14:paraId="73819480" w14:textId="01F484C7" w:rsidR="00533E72" w:rsidRDefault="00781FAD" w:rsidP="00781FAD">
      <w:r>
        <w:rPr>
          <w:rFonts w:hint="eastAsia"/>
        </w:rPr>
        <w:t>Residential Building</w:t>
      </w:r>
    </w:p>
    <w:p w14:paraId="0B46FFF3" w14:textId="2E34C2AE" w:rsidR="00C67B38" w:rsidRDefault="00C67B38" w:rsidP="00C67B38">
      <w:pPr>
        <w:pStyle w:val="ListParagraph"/>
        <w:numPr>
          <w:ilvl w:val="0"/>
          <w:numId w:val="2"/>
        </w:numPr>
      </w:pPr>
      <w:r>
        <w:rPr>
          <w:rFonts w:hint="eastAsia"/>
        </w:rPr>
        <w:t>Double Skin Facades</w:t>
      </w:r>
    </w:p>
    <w:p w14:paraId="4EB38B22" w14:textId="16A1130A" w:rsidR="00BC6D32" w:rsidRDefault="00655ABA" w:rsidP="00C45CB3">
      <w:pPr>
        <w:pStyle w:val="ListParagraph"/>
        <w:numPr>
          <w:ilvl w:val="1"/>
          <w:numId w:val="2"/>
        </w:numPr>
      </w:pPr>
      <w:r w:rsidRPr="00655ABA">
        <w:t xml:space="preserve">Yoon, Y., Seo, B., Mun, J., &amp; Cho, S. (2023). Energy savings and life cycle cost analysis of advanced double skin facade system applied to old apartments in South Korea. </w:t>
      </w:r>
      <w:r w:rsidRPr="00655ABA">
        <w:rPr>
          <w:i/>
          <w:iCs/>
        </w:rPr>
        <w:t>Journal of Building Engineering, 71</w:t>
      </w:r>
      <w:r w:rsidRPr="00655ABA">
        <w:t>, 106535.</w:t>
      </w:r>
    </w:p>
    <w:p w14:paraId="3AC2D8B4" w14:textId="77777777" w:rsidR="00BC6D32" w:rsidRDefault="00BC6D32" w:rsidP="00C45CB3">
      <w:pPr>
        <w:rPr>
          <w:rFonts w:hint="eastAsia"/>
        </w:rPr>
      </w:pPr>
    </w:p>
    <w:sectPr w:rsidR="00BC6D3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D5696" w14:textId="77777777" w:rsidR="009E3846" w:rsidRDefault="009E3846" w:rsidP="00F20640">
      <w:pPr>
        <w:spacing w:after="0" w:line="240" w:lineRule="auto"/>
        <w:rPr>
          <w:rFonts w:hint="eastAsia"/>
        </w:rPr>
      </w:pPr>
      <w:r>
        <w:separator/>
      </w:r>
    </w:p>
  </w:endnote>
  <w:endnote w:type="continuationSeparator" w:id="0">
    <w:p w14:paraId="1E708D61" w14:textId="77777777" w:rsidR="009E3846" w:rsidRDefault="009E3846" w:rsidP="00F2064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Aptos Display">
    <w:panose1 w:val="00000000000000000000"/>
    <w:charset w:val="00"/>
    <w:family w:val="roman"/>
    <w:notTrueType/>
    <w:pitch w:val="default"/>
  </w:font>
  <w:font w:name="system-u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9B3E9" w14:textId="77777777" w:rsidR="009E3846" w:rsidRDefault="009E3846" w:rsidP="00F20640">
      <w:pPr>
        <w:spacing w:after="0" w:line="240" w:lineRule="auto"/>
        <w:rPr>
          <w:rFonts w:hint="eastAsia"/>
        </w:rPr>
      </w:pPr>
      <w:r>
        <w:separator/>
      </w:r>
    </w:p>
  </w:footnote>
  <w:footnote w:type="continuationSeparator" w:id="0">
    <w:p w14:paraId="2B23E356" w14:textId="77777777" w:rsidR="009E3846" w:rsidRDefault="009E3846" w:rsidP="00F2064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6E67"/>
    <w:multiLevelType w:val="hybridMultilevel"/>
    <w:tmpl w:val="467C8B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767C16"/>
    <w:multiLevelType w:val="hybridMultilevel"/>
    <w:tmpl w:val="7CFEB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FC56C8"/>
    <w:multiLevelType w:val="hybridMultilevel"/>
    <w:tmpl w:val="F3DAA7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2246900">
    <w:abstractNumId w:val="1"/>
  </w:num>
  <w:num w:numId="2" w16cid:durableId="1422023328">
    <w:abstractNumId w:val="2"/>
  </w:num>
  <w:num w:numId="3" w16cid:durableId="1612938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EF3"/>
    <w:rsid w:val="00005711"/>
    <w:rsid w:val="00014550"/>
    <w:rsid w:val="00031E8C"/>
    <w:rsid w:val="00035173"/>
    <w:rsid w:val="00037404"/>
    <w:rsid w:val="00042C48"/>
    <w:rsid w:val="00053293"/>
    <w:rsid w:val="000601A1"/>
    <w:rsid w:val="000638F4"/>
    <w:rsid w:val="00065387"/>
    <w:rsid w:val="0007033F"/>
    <w:rsid w:val="00072DDA"/>
    <w:rsid w:val="00077A92"/>
    <w:rsid w:val="000805A6"/>
    <w:rsid w:val="00082A06"/>
    <w:rsid w:val="00087375"/>
    <w:rsid w:val="000876D5"/>
    <w:rsid w:val="00096E57"/>
    <w:rsid w:val="00096F0F"/>
    <w:rsid w:val="000A5E5A"/>
    <w:rsid w:val="000B1116"/>
    <w:rsid w:val="000B4BCB"/>
    <w:rsid w:val="000B7575"/>
    <w:rsid w:val="000C2A14"/>
    <w:rsid w:val="000C657B"/>
    <w:rsid w:val="000D2214"/>
    <w:rsid w:val="000D318D"/>
    <w:rsid w:val="000D6890"/>
    <w:rsid w:val="000F2CF0"/>
    <w:rsid w:val="000F47E0"/>
    <w:rsid w:val="00102B19"/>
    <w:rsid w:val="00105AE2"/>
    <w:rsid w:val="001070E4"/>
    <w:rsid w:val="00113779"/>
    <w:rsid w:val="00115D7A"/>
    <w:rsid w:val="0012290D"/>
    <w:rsid w:val="00127697"/>
    <w:rsid w:val="00137BE3"/>
    <w:rsid w:val="00142488"/>
    <w:rsid w:val="00142D61"/>
    <w:rsid w:val="00151810"/>
    <w:rsid w:val="00151DF9"/>
    <w:rsid w:val="0015572D"/>
    <w:rsid w:val="00160908"/>
    <w:rsid w:val="001738A9"/>
    <w:rsid w:val="00173F00"/>
    <w:rsid w:val="00175CE6"/>
    <w:rsid w:val="00184123"/>
    <w:rsid w:val="0018691F"/>
    <w:rsid w:val="00192357"/>
    <w:rsid w:val="001A2844"/>
    <w:rsid w:val="001A4DE5"/>
    <w:rsid w:val="001B4364"/>
    <w:rsid w:val="001B54FF"/>
    <w:rsid w:val="001B5EAD"/>
    <w:rsid w:val="001B63BA"/>
    <w:rsid w:val="001C2154"/>
    <w:rsid w:val="001C448C"/>
    <w:rsid w:val="001C50B7"/>
    <w:rsid w:val="001D01C0"/>
    <w:rsid w:val="001D0EEC"/>
    <w:rsid w:val="001D5CF7"/>
    <w:rsid w:val="001D6F43"/>
    <w:rsid w:val="001E2EA4"/>
    <w:rsid w:val="001E6C4E"/>
    <w:rsid w:val="001E6F85"/>
    <w:rsid w:val="001E7CD2"/>
    <w:rsid w:val="001F0DAE"/>
    <w:rsid w:val="001F198D"/>
    <w:rsid w:val="001F5C24"/>
    <w:rsid w:val="001F5EA0"/>
    <w:rsid w:val="00207979"/>
    <w:rsid w:val="00211313"/>
    <w:rsid w:val="00211CF0"/>
    <w:rsid w:val="002157BA"/>
    <w:rsid w:val="00215900"/>
    <w:rsid w:val="00216012"/>
    <w:rsid w:val="00216730"/>
    <w:rsid w:val="0022244C"/>
    <w:rsid w:val="002225C8"/>
    <w:rsid w:val="0023403A"/>
    <w:rsid w:val="002376D2"/>
    <w:rsid w:val="002530DC"/>
    <w:rsid w:val="00260E66"/>
    <w:rsid w:val="002632C6"/>
    <w:rsid w:val="00263A43"/>
    <w:rsid w:val="00263CCB"/>
    <w:rsid w:val="00266B9B"/>
    <w:rsid w:val="00266E12"/>
    <w:rsid w:val="002751B7"/>
    <w:rsid w:val="002901D5"/>
    <w:rsid w:val="00291781"/>
    <w:rsid w:val="00295992"/>
    <w:rsid w:val="00296432"/>
    <w:rsid w:val="002A667C"/>
    <w:rsid w:val="002B23F7"/>
    <w:rsid w:val="002C0A6A"/>
    <w:rsid w:val="002C1779"/>
    <w:rsid w:val="002C70D3"/>
    <w:rsid w:val="002D23C3"/>
    <w:rsid w:val="002E4968"/>
    <w:rsid w:val="002F39B4"/>
    <w:rsid w:val="00302BEB"/>
    <w:rsid w:val="00303BA8"/>
    <w:rsid w:val="00304411"/>
    <w:rsid w:val="0031032A"/>
    <w:rsid w:val="00312917"/>
    <w:rsid w:val="00315936"/>
    <w:rsid w:val="00316BED"/>
    <w:rsid w:val="003316F8"/>
    <w:rsid w:val="003331EE"/>
    <w:rsid w:val="00337464"/>
    <w:rsid w:val="00343F83"/>
    <w:rsid w:val="0036038F"/>
    <w:rsid w:val="00360453"/>
    <w:rsid w:val="003623BB"/>
    <w:rsid w:val="0038025C"/>
    <w:rsid w:val="0038154A"/>
    <w:rsid w:val="00390585"/>
    <w:rsid w:val="003A01F1"/>
    <w:rsid w:val="003A2409"/>
    <w:rsid w:val="003A3445"/>
    <w:rsid w:val="003B3623"/>
    <w:rsid w:val="003C06CE"/>
    <w:rsid w:val="003C07E8"/>
    <w:rsid w:val="003C0FF8"/>
    <w:rsid w:val="003C269B"/>
    <w:rsid w:val="003C7AAE"/>
    <w:rsid w:val="003D3919"/>
    <w:rsid w:val="003D5B70"/>
    <w:rsid w:val="003F4F95"/>
    <w:rsid w:val="003F6063"/>
    <w:rsid w:val="0040674A"/>
    <w:rsid w:val="004118A6"/>
    <w:rsid w:val="0041496D"/>
    <w:rsid w:val="004401FB"/>
    <w:rsid w:val="0044259D"/>
    <w:rsid w:val="004526BC"/>
    <w:rsid w:val="0045276F"/>
    <w:rsid w:val="00457A60"/>
    <w:rsid w:val="004635B1"/>
    <w:rsid w:val="004819A3"/>
    <w:rsid w:val="004844D0"/>
    <w:rsid w:val="004876D0"/>
    <w:rsid w:val="004941D3"/>
    <w:rsid w:val="0049552E"/>
    <w:rsid w:val="004A40AF"/>
    <w:rsid w:val="004A711F"/>
    <w:rsid w:val="004B19C8"/>
    <w:rsid w:val="004B2999"/>
    <w:rsid w:val="004B77C5"/>
    <w:rsid w:val="004C0DAD"/>
    <w:rsid w:val="004D19F4"/>
    <w:rsid w:val="004D2695"/>
    <w:rsid w:val="004E400F"/>
    <w:rsid w:val="004E4923"/>
    <w:rsid w:val="0050167E"/>
    <w:rsid w:val="00505C0F"/>
    <w:rsid w:val="0050624F"/>
    <w:rsid w:val="005066E9"/>
    <w:rsid w:val="00507FBD"/>
    <w:rsid w:val="0051696B"/>
    <w:rsid w:val="0052246F"/>
    <w:rsid w:val="00525EC9"/>
    <w:rsid w:val="00530103"/>
    <w:rsid w:val="005314E6"/>
    <w:rsid w:val="00531C4D"/>
    <w:rsid w:val="00533E72"/>
    <w:rsid w:val="005367C0"/>
    <w:rsid w:val="00540F27"/>
    <w:rsid w:val="005417C6"/>
    <w:rsid w:val="005471E8"/>
    <w:rsid w:val="00555C10"/>
    <w:rsid w:val="00557C77"/>
    <w:rsid w:val="00562D57"/>
    <w:rsid w:val="00567BB6"/>
    <w:rsid w:val="005707E7"/>
    <w:rsid w:val="00574855"/>
    <w:rsid w:val="005906B6"/>
    <w:rsid w:val="00593372"/>
    <w:rsid w:val="005B385F"/>
    <w:rsid w:val="005B43BA"/>
    <w:rsid w:val="005B4D4D"/>
    <w:rsid w:val="005C26C6"/>
    <w:rsid w:val="005D3598"/>
    <w:rsid w:val="005D5205"/>
    <w:rsid w:val="005D60F6"/>
    <w:rsid w:val="005D639B"/>
    <w:rsid w:val="005E4E1F"/>
    <w:rsid w:val="005F0489"/>
    <w:rsid w:val="00600AD0"/>
    <w:rsid w:val="00613468"/>
    <w:rsid w:val="00613717"/>
    <w:rsid w:val="006165D9"/>
    <w:rsid w:val="006211A8"/>
    <w:rsid w:val="006217F2"/>
    <w:rsid w:val="0062386B"/>
    <w:rsid w:val="0062731E"/>
    <w:rsid w:val="006354B0"/>
    <w:rsid w:val="006404B1"/>
    <w:rsid w:val="0064175C"/>
    <w:rsid w:val="00646BE6"/>
    <w:rsid w:val="00651759"/>
    <w:rsid w:val="006540FA"/>
    <w:rsid w:val="00655ABA"/>
    <w:rsid w:val="006564B6"/>
    <w:rsid w:val="00664BEC"/>
    <w:rsid w:val="00665CF0"/>
    <w:rsid w:val="006664D5"/>
    <w:rsid w:val="00677780"/>
    <w:rsid w:val="006A198C"/>
    <w:rsid w:val="006A3B0F"/>
    <w:rsid w:val="006A4E5A"/>
    <w:rsid w:val="006B294F"/>
    <w:rsid w:val="006B2B71"/>
    <w:rsid w:val="006B3B09"/>
    <w:rsid w:val="006C13BF"/>
    <w:rsid w:val="006C548B"/>
    <w:rsid w:val="006D4DC4"/>
    <w:rsid w:val="006D5D32"/>
    <w:rsid w:val="006E769E"/>
    <w:rsid w:val="006F5037"/>
    <w:rsid w:val="00700537"/>
    <w:rsid w:val="0071083F"/>
    <w:rsid w:val="00711AFB"/>
    <w:rsid w:val="00722902"/>
    <w:rsid w:val="007278F6"/>
    <w:rsid w:val="0072792C"/>
    <w:rsid w:val="007328C4"/>
    <w:rsid w:val="00745F0B"/>
    <w:rsid w:val="00760BD6"/>
    <w:rsid w:val="00763327"/>
    <w:rsid w:val="00774BD4"/>
    <w:rsid w:val="00775BA9"/>
    <w:rsid w:val="007762AF"/>
    <w:rsid w:val="00777582"/>
    <w:rsid w:val="00780704"/>
    <w:rsid w:val="00781235"/>
    <w:rsid w:val="00781FAD"/>
    <w:rsid w:val="00782B03"/>
    <w:rsid w:val="007849AD"/>
    <w:rsid w:val="0079013E"/>
    <w:rsid w:val="00792C4E"/>
    <w:rsid w:val="00796D12"/>
    <w:rsid w:val="007B7F0C"/>
    <w:rsid w:val="007C1190"/>
    <w:rsid w:val="007C6F1A"/>
    <w:rsid w:val="007D2A00"/>
    <w:rsid w:val="007E6AAC"/>
    <w:rsid w:val="007E7662"/>
    <w:rsid w:val="00800824"/>
    <w:rsid w:val="00811C48"/>
    <w:rsid w:val="0081588B"/>
    <w:rsid w:val="008213A7"/>
    <w:rsid w:val="00822246"/>
    <w:rsid w:val="00826526"/>
    <w:rsid w:val="00833443"/>
    <w:rsid w:val="0083703C"/>
    <w:rsid w:val="00840830"/>
    <w:rsid w:val="00842A75"/>
    <w:rsid w:val="0084475C"/>
    <w:rsid w:val="00852CEE"/>
    <w:rsid w:val="00857925"/>
    <w:rsid w:val="00866FBB"/>
    <w:rsid w:val="00873985"/>
    <w:rsid w:val="0088236C"/>
    <w:rsid w:val="008849F1"/>
    <w:rsid w:val="00884A27"/>
    <w:rsid w:val="0088674F"/>
    <w:rsid w:val="00887378"/>
    <w:rsid w:val="008904C9"/>
    <w:rsid w:val="008A4099"/>
    <w:rsid w:val="008A46DE"/>
    <w:rsid w:val="008A5E06"/>
    <w:rsid w:val="008B37E7"/>
    <w:rsid w:val="008B73A7"/>
    <w:rsid w:val="008C1B4D"/>
    <w:rsid w:val="008E1925"/>
    <w:rsid w:val="008E5635"/>
    <w:rsid w:val="008E62B2"/>
    <w:rsid w:val="008E6BFC"/>
    <w:rsid w:val="008F2E39"/>
    <w:rsid w:val="00904900"/>
    <w:rsid w:val="009051D3"/>
    <w:rsid w:val="00905CE7"/>
    <w:rsid w:val="009143CD"/>
    <w:rsid w:val="0091633B"/>
    <w:rsid w:val="00917372"/>
    <w:rsid w:val="00931A8E"/>
    <w:rsid w:val="00933B2C"/>
    <w:rsid w:val="00934F7A"/>
    <w:rsid w:val="009356BF"/>
    <w:rsid w:val="009378EB"/>
    <w:rsid w:val="00940C76"/>
    <w:rsid w:val="00942E11"/>
    <w:rsid w:val="00943E56"/>
    <w:rsid w:val="00946B47"/>
    <w:rsid w:val="009663C0"/>
    <w:rsid w:val="009702EB"/>
    <w:rsid w:val="00971CDD"/>
    <w:rsid w:val="0098313A"/>
    <w:rsid w:val="00985453"/>
    <w:rsid w:val="009923AE"/>
    <w:rsid w:val="0099568B"/>
    <w:rsid w:val="0099619F"/>
    <w:rsid w:val="009A0006"/>
    <w:rsid w:val="009B29F4"/>
    <w:rsid w:val="009B3F28"/>
    <w:rsid w:val="009B5EDA"/>
    <w:rsid w:val="009B6C79"/>
    <w:rsid w:val="009C53D8"/>
    <w:rsid w:val="009C62EE"/>
    <w:rsid w:val="009D70ED"/>
    <w:rsid w:val="009E3846"/>
    <w:rsid w:val="009E6F26"/>
    <w:rsid w:val="009F1B03"/>
    <w:rsid w:val="009F4326"/>
    <w:rsid w:val="00A0499F"/>
    <w:rsid w:val="00A05C00"/>
    <w:rsid w:val="00A0735E"/>
    <w:rsid w:val="00A161CF"/>
    <w:rsid w:val="00A203DF"/>
    <w:rsid w:val="00A40F8E"/>
    <w:rsid w:val="00A43C98"/>
    <w:rsid w:val="00A6161E"/>
    <w:rsid w:val="00A65186"/>
    <w:rsid w:val="00A7449E"/>
    <w:rsid w:val="00A959BA"/>
    <w:rsid w:val="00AB2CD1"/>
    <w:rsid w:val="00AB737B"/>
    <w:rsid w:val="00AD2C6D"/>
    <w:rsid w:val="00AE6C22"/>
    <w:rsid w:val="00AF5498"/>
    <w:rsid w:val="00AF55BB"/>
    <w:rsid w:val="00B00A46"/>
    <w:rsid w:val="00B15907"/>
    <w:rsid w:val="00B2091E"/>
    <w:rsid w:val="00B22552"/>
    <w:rsid w:val="00B32339"/>
    <w:rsid w:val="00B40A2C"/>
    <w:rsid w:val="00B4695E"/>
    <w:rsid w:val="00B502BD"/>
    <w:rsid w:val="00B67407"/>
    <w:rsid w:val="00B72483"/>
    <w:rsid w:val="00BA1BA3"/>
    <w:rsid w:val="00BA32DA"/>
    <w:rsid w:val="00BB1713"/>
    <w:rsid w:val="00BB4A2C"/>
    <w:rsid w:val="00BB758E"/>
    <w:rsid w:val="00BC06CC"/>
    <w:rsid w:val="00BC30B5"/>
    <w:rsid w:val="00BC4AD6"/>
    <w:rsid w:val="00BC6D32"/>
    <w:rsid w:val="00BD05F0"/>
    <w:rsid w:val="00BD33CD"/>
    <w:rsid w:val="00BD3E48"/>
    <w:rsid w:val="00BD5E00"/>
    <w:rsid w:val="00BD6A7C"/>
    <w:rsid w:val="00BF07DB"/>
    <w:rsid w:val="00BF1CAC"/>
    <w:rsid w:val="00BF5AC4"/>
    <w:rsid w:val="00C054C4"/>
    <w:rsid w:val="00C1016D"/>
    <w:rsid w:val="00C2276A"/>
    <w:rsid w:val="00C320B0"/>
    <w:rsid w:val="00C3217B"/>
    <w:rsid w:val="00C33FD7"/>
    <w:rsid w:val="00C368D4"/>
    <w:rsid w:val="00C37931"/>
    <w:rsid w:val="00C41E54"/>
    <w:rsid w:val="00C426B9"/>
    <w:rsid w:val="00C45CB3"/>
    <w:rsid w:val="00C464F0"/>
    <w:rsid w:val="00C47787"/>
    <w:rsid w:val="00C53552"/>
    <w:rsid w:val="00C5396F"/>
    <w:rsid w:val="00C55D6C"/>
    <w:rsid w:val="00C62ED6"/>
    <w:rsid w:val="00C67B38"/>
    <w:rsid w:val="00C77592"/>
    <w:rsid w:val="00C81658"/>
    <w:rsid w:val="00C8415A"/>
    <w:rsid w:val="00C84461"/>
    <w:rsid w:val="00C84D17"/>
    <w:rsid w:val="00C86762"/>
    <w:rsid w:val="00C91535"/>
    <w:rsid w:val="00CB2B2D"/>
    <w:rsid w:val="00CD16BF"/>
    <w:rsid w:val="00CD49B1"/>
    <w:rsid w:val="00CD4EF6"/>
    <w:rsid w:val="00CE3E70"/>
    <w:rsid w:val="00CF12CB"/>
    <w:rsid w:val="00CF3C40"/>
    <w:rsid w:val="00CF56B0"/>
    <w:rsid w:val="00D01C51"/>
    <w:rsid w:val="00D23340"/>
    <w:rsid w:val="00D26A3D"/>
    <w:rsid w:val="00D35DFB"/>
    <w:rsid w:val="00D36602"/>
    <w:rsid w:val="00D4095A"/>
    <w:rsid w:val="00D42F8A"/>
    <w:rsid w:val="00D55F4D"/>
    <w:rsid w:val="00D563CE"/>
    <w:rsid w:val="00D608B6"/>
    <w:rsid w:val="00D6451F"/>
    <w:rsid w:val="00D8683D"/>
    <w:rsid w:val="00D958E4"/>
    <w:rsid w:val="00DB36A9"/>
    <w:rsid w:val="00DB45C3"/>
    <w:rsid w:val="00DC01AE"/>
    <w:rsid w:val="00DC7B9B"/>
    <w:rsid w:val="00DD3226"/>
    <w:rsid w:val="00DD39B9"/>
    <w:rsid w:val="00DD48D7"/>
    <w:rsid w:val="00DE7016"/>
    <w:rsid w:val="00E00142"/>
    <w:rsid w:val="00E02315"/>
    <w:rsid w:val="00E03CD6"/>
    <w:rsid w:val="00E052B0"/>
    <w:rsid w:val="00E14A26"/>
    <w:rsid w:val="00E21EF8"/>
    <w:rsid w:val="00E23FB4"/>
    <w:rsid w:val="00E32DF3"/>
    <w:rsid w:val="00E331C6"/>
    <w:rsid w:val="00E33B34"/>
    <w:rsid w:val="00E36065"/>
    <w:rsid w:val="00E421DE"/>
    <w:rsid w:val="00E44E04"/>
    <w:rsid w:val="00E50BF2"/>
    <w:rsid w:val="00E5303F"/>
    <w:rsid w:val="00E579DC"/>
    <w:rsid w:val="00E60B0A"/>
    <w:rsid w:val="00E61C40"/>
    <w:rsid w:val="00E6392E"/>
    <w:rsid w:val="00E6395B"/>
    <w:rsid w:val="00E71639"/>
    <w:rsid w:val="00E82EF4"/>
    <w:rsid w:val="00E853E7"/>
    <w:rsid w:val="00E8592F"/>
    <w:rsid w:val="00E93975"/>
    <w:rsid w:val="00E94D2C"/>
    <w:rsid w:val="00EA14CE"/>
    <w:rsid w:val="00EB025F"/>
    <w:rsid w:val="00EB3A1E"/>
    <w:rsid w:val="00EC181E"/>
    <w:rsid w:val="00EC482C"/>
    <w:rsid w:val="00ED697D"/>
    <w:rsid w:val="00ED6BDC"/>
    <w:rsid w:val="00EE118F"/>
    <w:rsid w:val="00EE34B7"/>
    <w:rsid w:val="00EF79AD"/>
    <w:rsid w:val="00F029FA"/>
    <w:rsid w:val="00F10418"/>
    <w:rsid w:val="00F12B76"/>
    <w:rsid w:val="00F20640"/>
    <w:rsid w:val="00F270EA"/>
    <w:rsid w:val="00F30C19"/>
    <w:rsid w:val="00F3127E"/>
    <w:rsid w:val="00F320CF"/>
    <w:rsid w:val="00F335F5"/>
    <w:rsid w:val="00F351C4"/>
    <w:rsid w:val="00F37B94"/>
    <w:rsid w:val="00F40C35"/>
    <w:rsid w:val="00F4221D"/>
    <w:rsid w:val="00F460B2"/>
    <w:rsid w:val="00F50956"/>
    <w:rsid w:val="00F61443"/>
    <w:rsid w:val="00F67DD7"/>
    <w:rsid w:val="00F67EF3"/>
    <w:rsid w:val="00F722A5"/>
    <w:rsid w:val="00F722D5"/>
    <w:rsid w:val="00F74717"/>
    <w:rsid w:val="00F84741"/>
    <w:rsid w:val="00F84A6C"/>
    <w:rsid w:val="00F92707"/>
    <w:rsid w:val="00F96D84"/>
    <w:rsid w:val="00F97A91"/>
    <w:rsid w:val="00FA2CA1"/>
    <w:rsid w:val="00FA6395"/>
    <w:rsid w:val="00FB3C49"/>
    <w:rsid w:val="00FC1D3A"/>
    <w:rsid w:val="00FC21A4"/>
    <w:rsid w:val="00FC767F"/>
    <w:rsid w:val="00FD3F03"/>
    <w:rsid w:val="00FE0C09"/>
    <w:rsid w:val="00FE37F2"/>
    <w:rsid w:val="00FE41BE"/>
    <w:rsid w:val="00FE6BC5"/>
    <w:rsid w:val="00FF36D9"/>
    <w:rsid w:val="00FF6EB2"/>
    <w:rsid w:val="02302D8B"/>
    <w:rsid w:val="04733A77"/>
    <w:rsid w:val="074DB56B"/>
    <w:rsid w:val="08C6F5F9"/>
    <w:rsid w:val="0910CD5E"/>
    <w:rsid w:val="0BDC9778"/>
    <w:rsid w:val="11124A87"/>
    <w:rsid w:val="16FFF234"/>
    <w:rsid w:val="17455129"/>
    <w:rsid w:val="180A832B"/>
    <w:rsid w:val="1A831FF5"/>
    <w:rsid w:val="1BE35C37"/>
    <w:rsid w:val="1F1B5E8D"/>
    <w:rsid w:val="229A846C"/>
    <w:rsid w:val="24166820"/>
    <w:rsid w:val="27486E7E"/>
    <w:rsid w:val="27B8E535"/>
    <w:rsid w:val="297913FC"/>
    <w:rsid w:val="29BEA832"/>
    <w:rsid w:val="2E6DEA51"/>
    <w:rsid w:val="2F0141E3"/>
    <w:rsid w:val="31AC0ABC"/>
    <w:rsid w:val="332BFB04"/>
    <w:rsid w:val="363B2C20"/>
    <w:rsid w:val="36F7CDCE"/>
    <w:rsid w:val="3A871AA4"/>
    <w:rsid w:val="3B44B7BE"/>
    <w:rsid w:val="3C1BC05F"/>
    <w:rsid w:val="3C6B67D4"/>
    <w:rsid w:val="40205BF2"/>
    <w:rsid w:val="4044B6A4"/>
    <w:rsid w:val="41359B04"/>
    <w:rsid w:val="433FB956"/>
    <w:rsid w:val="46B7801F"/>
    <w:rsid w:val="4857060F"/>
    <w:rsid w:val="4A0F7CA6"/>
    <w:rsid w:val="4A7D1AFD"/>
    <w:rsid w:val="4AAE5FAA"/>
    <w:rsid w:val="4B9E35E7"/>
    <w:rsid w:val="4D0B9D88"/>
    <w:rsid w:val="4F35DE92"/>
    <w:rsid w:val="4FFC42CE"/>
    <w:rsid w:val="539D1167"/>
    <w:rsid w:val="56AA925F"/>
    <w:rsid w:val="58799406"/>
    <w:rsid w:val="58EAEC91"/>
    <w:rsid w:val="5F0831AE"/>
    <w:rsid w:val="62060C99"/>
    <w:rsid w:val="62FE3E5F"/>
    <w:rsid w:val="63C10E81"/>
    <w:rsid w:val="686E8149"/>
    <w:rsid w:val="6B3FC10E"/>
    <w:rsid w:val="6CFA57EA"/>
    <w:rsid w:val="70BCAB54"/>
    <w:rsid w:val="70D35D33"/>
    <w:rsid w:val="7164F2B6"/>
    <w:rsid w:val="739AC6AE"/>
    <w:rsid w:val="73EF9D3C"/>
    <w:rsid w:val="73FB089B"/>
    <w:rsid w:val="768AD05E"/>
    <w:rsid w:val="79764053"/>
    <w:rsid w:val="7BE43CDA"/>
    <w:rsid w:val="7CA7DCD0"/>
    <w:rsid w:val="7F9787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3B9B4"/>
  <w15:chartTrackingRefBased/>
  <w15:docId w15:val="{DC976699-E7DB-42FC-977E-280C8FD90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E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E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E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E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E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E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E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E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EF3"/>
    <w:rPr>
      <w:rFonts w:eastAsiaTheme="majorEastAsia" w:cstheme="majorBidi"/>
      <w:color w:val="272727" w:themeColor="text1" w:themeTint="D8"/>
    </w:rPr>
  </w:style>
  <w:style w:type="paragraph" w:styleId="Title">
    <w:name w:val="Title"/>
    <w:basedOn w:val="Normal"/>
    <w:next w:val="Normal"/>
    <w:link w:val="TitleChar"/>
    <w:uiPriority w:val="10"/>
    <w:qFormat/>
    <w:rsid w:val="00F67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EF3"/>
    <w:pPr>
      <w:spacing w:before="160"/>
      <w:jc w:val="center"/>
    </w:pPr>
    <w:rPr>
      <w:i/>
      <w:iCs/>
      <w:color w:val="404040" w:themeColor="text1" w:themeTint="BF"/>
    </w:rPr>
  </w:style>
  <w:style w:type="character" w:customStyle="1" w:styleId="QuoteChar">
    <w:name w:val="Quote Char"/>
    <w:basedOn w:val="DefaultParagraphFont"/>
    <w:link w:val="Quote"/>
    <w:uiPriority w:val="29"/>
    <w:rsid w:val="00F67EF3"/>
    <w:rPr>
      <w:i/>
      <w:iCs/>
      <w:color w:val="404040" w:themeColor="text1" w:themeTint="BF"/>
    </w:rPr>
  </w:style>
  <w:style w:type="paragraph" w:styleId="ListParagraph">
    <w:name w:val="List Paragraph"/>
    <w:basedOn w:val="Normal"/>
    <w:uiPriority w:val="34"/>
    <w:qFormat/>
    <w:rsid w:val="00F67EF3"/>
    <w:pPr>
      <w:ind w:left="720"/>
      <w:contextualSpacing/>
    </w:pPr>
  </w:style>
  <w:style w:type="character" w:styleId="IntenseEmphasis">
    <w:name w:val="Intense Emphasis"/>
    <w:basedOn w:val="DefaultParagraphFont"/>
    <w:uiPriority w:val="21"/>
    <w:qFormat/>
    <w:rsid w:val="00F67EF3"/>
    <w:rPr>
      <w:i/>
      <w:iCs/>
      <w:color w:val="0F4761" w:themeColor="accent1" w:themeShade="BF"/>
    </w:rPr>
  </w:style>
  <w:style w:type="paragraph" w:styleId="IntenseQuote">
    <w:name w:val="Intense Quote"/>
    <w:basedOn w:val="Normal"/>
    <w:next w:val="Normal"/>
    <w:link w:val="IntenseQuoteChar"/>
    <w:uiPriority w:val="30"/>
    <w:qFormat/>
    <w:rsid w:val="00F67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EF3"/>
    <w:rPr>
      <w:i/>
      <w:iCs/>
      <w:color w:val="0F4761" w:themeColor="accent1" w:themeShade="BF"/>
    </w:rPr>
  </w:style>
  <w:style w:type="character" w:styleId="IntenseReference">
    <w:name w:val="Intense Reference"/>
    <w:basedOn w:val="DefaultParagraphFont"/>
    <w:uiPriority w:val="32"/>
    <w:qFormat/>
    <w:rsid w:val="00F67EF3"/>
    <w:rPr>
      <w:b/>
      <w:bCs/>
      <w:smallCaps/>
      <w:color w:val="0F4761" w:themeColor="accent1" w:themeShade="BF"/>
      <w:spacing w:val="5"/>
    </w:rPr>
  </w:style>
  <w:style w:type="paragraph" w:styleId="Header">
    <w:name w:val="header"/>
    <w:basedOn w:val="Normal"/>
    <w:link w:val="HeaderChar"/>
    <w:uiPriority w:val="99"/>
    <w:semiHidden/>
    <w:unhideWhenUsed/>
    <w:rsid w:val="00C464F0"/>
    <w:pPr>
      <w:tabs>
        <w:tab w:val="center" w:pos="4513"/>
        <w:tab w:val="right" w:pos="9026"/>
      </w:tabs>
      <w:snapToGrid w:val="0"/>
    </w:pPr>
  </w:style>
  <w:style w:type="character" w:customStyle="1" w:styleId="HeaderChar">
    <w:name w:val="Header Char"/>
    <w:basedOn w:val="DefaultParagraphFont"/>
    <w:link w:val="Header"/>
    <w:uiPriority w:val="99"/>
    <w:rsid w:val="00F20640"/>
  </w:style>
  <w:style w:type="paragraph" w:styleId="Footer">
    <w:name w:val="footer"/>
    <w:basedOn w:val="Normal"/>
    <w:link w:val="FooterChar"/>
    <w:uiPriority w:val="99"/>
    <w:semiHidden/>
    <w:unhideWhenUsed/>
    <w:rsid w:val="00C464F0"/>
    <w:pPr>
      <w:tabs>
        <w:tab w:val="center" w:pos="4513"/>
        <w:tab w:val="right" w:pos="9026"/>
      </w:tabs>
      <w:snapToGrid w:val="0"/>
    </w:pPr>
  </w:style>
  <w:style w:type="character" w:customStyle="1" w:styleId="FooterChar">
    <w:name w:val="Footer Char"/>
    <w:basedOn w:val="DefaultParagraphFont"/>
    <w:link w:val="Footer"/>
    <w:uiPriority w:val="99"/>
    <w:rsid w:val="00F20640"/>
  </w:style>
  <w:style w:type="table" w:styleId="TableGrid">
    <w:name w:val="Table Grid"/>
    <w:basedOn w:val="TableNormal"/>
    <w:uiPriority w:val="39"/>
    <w:rsid w:val="005D35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623B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9970E6BCF8144A5E1818FA78D6B06" ma:contentTypeVersion="3" ma:contentTypeDescription="Create a new document." ma:contentTypeScope="" ma:versionID="df37071010697a5b4f3d7758d7f1fe32">
  <xsd:schema xmlns:xsd="http://www.w3.org/2001/XMLSchema" xmlns:xs="http://www.w3.org/2001/XMLSchema" xmlns:p="http://schemas.microsoft.com/office/2006/metadata/properties" xmlns:ns2="58b16cc5-4123-42a0-9a69-c07c2ab40115" targetNamespace="http://schemas.microsoft.com/office/2006/metadata/properties" ma:root="true" ma:fieldsID="204738eb428155543f20aa37e4818511" ns2:_="">
    <xsd:import namespace="58b16cc5-4123-42a0-9a69-c07c2ab4011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b16cc5-4123-42a0-9a69-c07c2ab401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AE8324-7874-4965-BBE7-D9DEEFAF78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0EA439C-C909-4521-A2DC-DD6B121CFA3F}">
  <ds:schemaRefs>
    <ds:schemaRef ds:uri="http://schemas.microsoft.com/sharepoint/v3/contenttype/forms"/>
  </ds:schemaRefs>
</ds:datastoreItem>
</file>

<file path=customXml/itemProps3.xml><?xml version="1.0" encoding="utf-8"?>
<ds:datastoreItem xmlns:ds="http://schemas.openxmlformats.org/officeDocument/2006/customXml" ds:itemID="{4AC3ADA9-9416-4932-98D5-6C8140971E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b16cc5-4123-42a0-9a69-c07c2ab401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1569</Words>
  <Characters>8945</Characters>
  <Application>Microsoft Office Word</Application>
  <DocSecurity>4</DocSecurity>
  <Lines>74</Lines>
  <Paragraphs>20</Paragraphs>
  <ScaleCrop>false</ScaleCrop>
  <Company/>
  <LinksUpToDate>false</LinksUpToDate>
  <CharactersWithSpaces>10494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Juwan Ha</dc:creator>
  <cp:keywords/>
  <dc:description/>
  <cp:lastModifiedBy>Juwan Ha</cp:lastModifiedBy>
  <cp:revision>206</cp:revision>
  <dcterms:created xsi:type="dcterms:W3CDTF">2026-04-28T18:28:00Z</dcterms:created>
  <dcterms:modified xsi:type="dcterms:W3CDTF">2026-04-28T19:43:00Z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0x01010010B9970E6BCF8144A5E1818FA78D6B06</vt:lpwstr>
  </property>
</Properties>
</file>