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00"/>
        <w:jc w:val="center"/>
      </w:pPr>
      <w:r>
        <w:rPr>
          <w:rFonts w:ascii="Calibri" w:hAnsi="Calibri"/>
          <w:b/>
          <w:color w:val="2E74B5"/>
          <w:sz w:val="28"/>
        </w:rPr>
        <w:t>WANDORA</w:t>
      </w:r>
    </w:p>
    <w:p>
      <w:pPr>
        <w:jc w:val="center"/>
      </w:pPr>
      <w:r>
        <w:rPr>
          <w:rFonts w:ascii="Calibri" w:hAnsi="Calibri"/>
          <w:b/>
          <w:color w:val="1F4D78"/>
          <w:sz w:val="56"/>
        </w:rPr>
        <w:t>PA4 Test Report</w:t>
      </w:r>
    </w:p>
    <w:p>
      <w:pPr>
        <w:jc w:val="center"/>
      </w:pPr>
      <w:r>
        <w:rPr>
          <w:color w:val="5B6573"/>
          <w:sz w:val="24"/>
        </w:rPr>
        <w:t>Execution evidence for UC01 and UC02</w:t>
      </w:r>
    </w:p>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600"/>
            <w:vAlign w:val="center"/>
            <w:shd w:fill="F2F4F7"/>
          </w:tcPr>
          <w:p>
            <w:pPr>
              <w:spacing w:after="0"/>
            </w:pPr>
            <w:r>
              <w:rPr>
                <w:rFonts w:ascii="Calibri" w:hAnsi="Calibri"/>
                <w:b/>
                <w:color w:val="1F4D78"/>
                <w:sz w:val="19"/>
              </w:rPr>
              <w:t>Document</w:t>
            </w:r>
          </w:p>
        </w:tc>
        <w:tc>
          <w:tcPr>
            <w:tcW w:type="dxa" w:w="6760"/>
            <w:vAlign w:val="center"/>
            <w:shd w:fill="F2F4F7"/>
          </w:tcPr>
          <w:p>
            <w:pPr>
              <w:spacing w:after="0"/>
            </w:pPr>
            <w:r>
              <w:rPr>
                <w:rFonts w:ascii="Calibri" w:hAnsi="Calibri"/>
                <w:b/>
                <w:color w:val="1F4D78"/>
                <w:sz w:val="19"/>
              </w:rPr>
              <w:t>Value</w:t>
            </w:r>
          </w:p>
        </w:tc>
      </w:tr>
      <w:tr>
        <w:tc>
          <w:tcPr>
            <w:tcW w:type="dxa" w:w="2600"/>
            <w:vAlign w:val="center"/>
          </w:tcPr>
          <w:p>
            <w:pPr>
              <w:spacing w:after="0"/>
            </w:pPr>
            <w:r>
              <w:rPr>
                <w:rFonts w:ascii="Calibri" w:hAnsi="Calibri"/>
                <w:sz w:val="19"/>
              </w:rPr>
              <w:t>Project</w:t>
            </w:r>
          </w:p>
        </w:tc>
        <w:tc>
          <w:tcPr>
            <w:tcW w:type="dxa" w:w="6760"/>
            <w:vAlign w:val="center"/>
          </w:tcPr>
          <w:p>
            <w:pPr>
              <w:spacing w:after="0"/>
            </w:pPr>
            <w:r>
              <w:rPr>
                <w:rFonts w:ascii="Calibri" w:hAnsi="Calibri"/>
                <w:sz w:val="19"/>
              </w:rPr>
              <w:t>Wandora - collaborative trip planning application</w:t>
            </w:r>
          </w:p>
        </w:tc>
      </w:tr>
      <w:tr>
        <w:tc>
          <w:tcPr>
            <w:tcW w:type="dxa" w:w="2600"/>
            <w:vAlign w:val="center"/>
          </w:tcPr>
          <w:p>
            <w:pPr>
              <w:spacing w:after="0"/>
            </w:pPr>
            <w:r>
              <w:rPr>
                <w:rFonts w:ascii="Calibri" w:hAnsi="Calibri"/>
                <w:sz w:val="19"/>
              </w:rPr>
              <w:t>Course deliverable</w:t>
            </w:r>
          </w:p>
        </w:tc>
        <w:tc>
          <w:tcPr>
            <w:tcW w:type="dxa" w:w="6760"/>
            <w:vAlign w:val="center"/>
          </w:tcPr>
          <w:p>
            <w:pPr>
              <w:spacing w:after="0"/>
            </w:pPr>
            <w:r>
              <w:rPr>
                <w:rFonts w:ascii="Calibri" w:hAnsi="Calibri"/>
                <w:sz w:val="19"/>
              </w:rPr>
              <w:t>PA4 - Testing</w:t>
            </w:r>
          </w:p>
        </w:tc>
      </w:tr>
      <w:tr>
        <w:tc>
          <w:tcPr>
            <w:tcW w:type="dxa" w:w="2600"/>
            <w:vAlign w:val="center"/>
          </w:tcPr>
          <w:p>
            <w:pPr>
              <w:spacing w:after="0"/>
            </w:pPr>
            <w:r>
              <w:rPr>
                <w:rFonts w:ascii="Calibri" w:hAnsi="Calibri"/>
                <w:sz w:val="19"/>
              </w:rPr>
              <w:t>Team</w:t>
            </w:r>
          </w:p>
        </w:tc>
        <w:tc>
          <w:tcPr>
            <w:tcW w:type="dxa" w:w="6760"/>
            <w:vAlign w:val="center"/>
          </w:tcPr>
          <w:p>
            <w:pPr>
              <w:spacing w:after="0"/>
            </w:pPr>
            <w:r>
              <w:rPr>
                <w:rFonts w:ascii="Calibri" w:hAnsi="Calibri"/>
                <w:sz w:val="19"/>
              </w:rPr>
              <w:t>Group 11</w:t>
            </w:r>
          </w:p>
        </w:tc>
      </w:tr>
      <w:tr>
        <w:tc>
          <w:tcPr>
            <w:tcW w:type="dxa" w:w="2600"/>
            <w:vAlign w:val="center"/>
          </w:tcPr>
          <w:p>
            <w:pPr>
              <w:spacing w:after="0"/>
            </w:pPr>
            <w:r>
              <w:rPr>
                <w:rFonts w:ascii="Calibri" w:hAnsi="Calibri"/>
                <w:sz w:val="19"/>
              </w:rPr>
              <w:t>Version</w:t>
            </w:r>
          </w:p>
        </w:tc>
        <w:tc>
          <w:tcPr>
            <w:tcW w:type="dxa" w:w="6760"/>
            <w:vAlign w:val="center"/>
          </w:tcPr>
          <w:p>
            <w:pPr>
              <w:spacing w:after="0"/>
            </w:pPr>
            <w:r>
              <w:rPr>
                <w:rFonts w:ascii="Calibri" w:hAnsi="Calibri"/>
                <w:sz w:val="19"/>
              </w:rPr>
              <w:t>1.0</w:t>
            </w:r>
          </w:p>
        </w:tc>
      </w:tr>
      <w:tr>
        <w:tc>
          <w:tcPr>
            <w:tcW w:type="dxa" w:w="2600"/>
            <w:vAlign w:val="center"/>
          </w:tcPr>
          <w:p>
            <w:pPr>
              <w:spacing w:after="0"/>
            </w:pPr>
            <w:r>
              <w:rPr>
                <w:rFonts w:ascii="Calibri" w:hAnsi="Calibri"/>
                <w:sz w:val="19"/>
              </w:rPr>
              <w:t>Prepared date</w:t>
            </w:r>
          </w:p>
        </w:tc>
        <w:tc>
          <w:tcPr>
            <w:tcW w:type="dxa" w:w="6760"/>
            <w:vAlign w:val="center"/>
          </w:tcPr>
          <w:p>
            <w:pPr>
              <w:spacing w:after="0"/>
            </w:pPr>
            <w:r>
              <w:rPr>
                <w:rFonts w:ascii="Calibri" w:hAnsi="Calibri"/>
                <w:sz w:val="19"/>
              </w:rPr>
              <w:t>14 August 2026</w:t>
            </w:r>
          </w:p>
        </w:tc>
      </w:tr>
    </w:tbl>
    <w:p/>
    <w:p>
      <w:r>
        <w:br w:type="page"/>
      </w:r>
    </w:p>
    <w:p>
      <w:pPr>
        <w:pStyle w:val="Heading1"/>
      </w:pPr>
      <w:r>
        <w:t>1. Executive Summary</w:t>
      </w:r>
    </w:p>
    <w:p>
      <w:r>
        <w:t>The PA4 execution scope covered the two implemented main workflows: UC01 Trip Creation and Preference Input, and UC02 AI Itinerary Generator. The isolated backend suite completed successfully with 13 passing checks. Ten traced functional cases for UC01 and UC02 are reported as passed based on that suite and direct browser validation evidence.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300"/>
            <w:vAlign w:val="center"/>
            <w:shd w:fill="F2F4F7"/>
          </w:tcPr>
          <w:p>
            <w:pPr>
              <w:spacing w:after="0"/>
            </w:pPr>
            <w:r>
              <w:rPr>
                <w:rFonts w:ascii="Calibri" w:hAnsi="Calibri"/>
                <w:b/>
                <w:color w:val="1F4D78"/>
                <w:sz w:val="19"/>
              </w:rPr>
              <w:t>Metric</w:t>
            </w:r>
          </w:p>
        </w:tc>
        <w:tc>
          <w:tcPr>
            <w:tcW w:type="dxa" w:w="6060"/>
            <w:vAlign w:val="center"/>
            <w:shd w:fill="F2F4F7"/>
          </w:tcPr>
          <w:p>
            <w:pPr>
              <w:spacing w:after="0"/>
            </w:pPr>
            <w:r>
              <w:rPr>
                <w:rFonts w:ascii="Calibri" w:hAnsi="Calibri"/>
                <w:b/>
                <w:color w:val="1F4D78"/>
                <w:sz w:val="19"/>
              </w:rPr>
              <w:t>Result</w:t>
            </w:r>
          </w:p>
        </w:tc>
      </w:tr>
      <w:tr>
        <w:tc>
          <w:tcPr>
            <w:tcW w:type="dxa" w:w="3300"/>
            <w:vAlign w:val="center"/>
          </w:tcPr>
          <w:p>
            <w:pPr>
              <w:spacing w:after="0"/>
            </w:pPr>
            <w:r>
              <w:rPr>
                <w:rFonts w:ascii="Calibri" w:hAnsi="Calibri"/>
                <w:sz w:val="19"/>
              </w:rPr>
              <w:t>Executed functional cases in PA4 scope</w:t>
            </w:r>
          </w:p>
        </w:tc>
        <w:tc>
          <w:tcPr>
            <w:tcW w:type="dxa" w:w="6060"/>
            <w:vAlign w:val="center"/>
          </w:tcPr>
          <w:p>
            <w:pPr>
              <w:spacing w:after="0"/>
            </w:pPr>
            <w:r>
              <w:rPr>
                <w:rFonts w:ascii="Calibri" w:hAnsi="Calibri"/>
                <w:sz w:val="19"/>
              </w:rPr>
              <w:t>10</w:t>
            </w:r>
          </w:p>
        </w:tc>
      </w:tr>
      <w:tr>
        <w:tc>
          <w:tcPr>
            <w:tcW w:type="dxa" w:w="3300"/>
            <w:vAlign w:val="center"/>
          </w:tcPr>
          <w:p>
            <w:pPr>
              <w:spacing w:after="0"/>
            </w:pPr>
            <w:r>
              <w:rPr>
                <w:rFonts w:ascii="Calibri" w:hAnsi="Calibri"/>
                <w:sz w:val="19"/>
              </w:rPr>
              <w:t>Passed</w:t>
            </w:r>
          </w:p>
        </w:tc>
        <w:tc>
          <w:tcPr>
            <w:tcW w:type="dxa" w:w="6060"/>
            <w:vAlign w:val="center"/>
          </w:tcPr>
          <w:p>
            <w:pPr>
              <w:spacing w:after="0"/>
            </w:pPr>
            <w:r>
              <w:rPr>
                <w:rFonts w:ascii="Calibri" w:hAnsi="Calibri"/>
                <w:sz w:val="19"/>
              </w:rPr>
              <w:t>10</w:t>
            </w:r>
          </w:p>
        </w:tc>
      </w:tr>
      <w:tr>
        <w:tc>
          <w:tcPr>
            <w:tcW w:type="dxa" w:w="3300"/>
            <w:vAlign w:val="center"/>
          </w:tcPr>
          <w:p>
            <w:pPr>
              <w:spacing w:after="0"/>
            </w:pPr>
            <w:r>
              <w:rPr>
                <w:rFonts w:ascii="Calibri" w:hAnsi="Calibri"/>
                <w:sz w:val="19"/>
              </w:rPr>
              <w:t>Failed</w:t>
            </w:r>
          </w:p>
        </w:tc>
        <w:tc>
          <w:tcPr>
            <w:tcW w:type="dxa" w:w="6060"/>
            <w:vAlign w:val="center"/>
          </w:tcPr>
          <w:p>
            <w:pPr>
              <w:spacing w:after="0"/>
            </w:pPr>
            <w:r>
              <w:rPr>
                <w:rFonts w:ascii="Calibri" w:hAnsi="Calibri"/>
                <w:sz w:val="19"/>
              </w:rPr>
              <w:t>0</w:t>
            </w:r>
          </w:p>
        </w:tc>
      </w:tr>
      <w:tr>
        <w:tc>
          <w:tcPr>
            <w:tcW w:type="dxa" w:w="3300"/>
            <w:vAlign w:val="center"/>
          </w:tcPr>
          <w:p>
            <w:pPr>
              <w:spacing w:after="0"/>
            </w:pPr>
            <w:r>
              <w:rPr>
                <w:rFonts w:ascii="Calibri" w:hAnsi="Calibri"/>
                <w:sz w:val="19"/>
              </w:rPr>
              <w:t>Blocked</w:t>
            </w:r>
          </w:p>
        </w:tc>
        <w:tc>
          <w:tcPr>
            <w:tcW w:type="dxa" w:w="6060"/>
            <w:vAlign w:val="center"/>
          </w:tcPr>
          <w:p>
            <w:pPr>
              <w:spacing w:after="0"/>
            </w:pPr>
            <w:r>
              <w:rPr>
                <w:rFonts w:ascii="Calibri" w:hAnsi="Calibri"/>
                <w:sz w:val="19"/>
              </w:rPr>
              <w:t>0 functional cases; Selenium driver setup is an environment limitation</w:t>
            </w:r>
          </w:p>
        </w:tc>
      </w:tr>
      <w:tr>
        <w:tc>
          <w:tcPr>
            <w:tcW w:type="dxa" w:w="3300"/>
            <w:vAlign w:val="center"/>
          </w:tcPr>
          <w:p>
            <w:pPr>
              <w:spacing w:after="0"/>
            </w:pPr>
            <w:r>
              <w:rPr>
                <w:rFonts w:ascii="Calibri" w:hAnsi="Calibri"/>
                <w:sz w:val="19"/>
              </w:rPr>
              <w:t>Automated backend suite</w:t>
            </w:r>
          </w:p>
        </w:tc>
        <w:tc>
          <w:tcPr>
            <w:tcW w:type="dxa" w:w="6060"/>
            <w:vAlign w:val="center"/>
          </w:tcPr>
          <w:p>
            <w:pPr>
              <w:spacing w:after="0"/>
            </w:pPr>
            <w:r>
              <w:rPr>
                <w:rFonts w:ascii="Calibri" w:hAnsi="Calibri"/>
                <w:sz w:val="19"/>
              </w:rPr>
              <w:t>13 passed, 33 warnings, 1.02s</w:t>
            </w:r>
          </w:p>
        </w:tc>
      </w:tr>
    </w:tbl>
    <w:p/>
    <w:p>
      <w:pPr>
        <w:pStyle w:val="Heading1"/>
      </w:pPr>
      <w:r>
        <w:t>2. Environment and Execution Method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00"/>
            <w:vAlign w:val="center"/>
            <w:shd w:fill="F2F4F7"/>
          </w:tcPr>
          <w:p>
            <w:pPr>
              <w:spacing w:after="0"/>
            </w:pPr>
            <w:r>
              <w:rPr>
                <w:rFonts w:ascii="Calibri" w:hAnsi="Calibri"/>
                <w:b/>
                <w:color w:val="1F4D78"/>
                <w:sz w:val="19"/>
              </w:rPr>
              <w:t>Item</w:t>
            </w:r>
          </w:p>
        </w:tc>
        <w:tc>
          <w:tcPr>
            <w:tcW w:type="dxa" w:w="6860"/>
            <w:vAlign w:val="center"/>
            <w:shd w:fill="F2F4F7"/>
          </w:tcPr>
          <w:p>
            <w:pPr>
              <w:spacing w:after="0"/>
            </w:pPr>
            <w:r>
              <w:rPr>
                <w:rFonts w:ascii="Calibri" w:hAnsi="Calibri"/>
                <w:b/>
                <w:color w:val="1F4D78"/>
                <w:sz w:val="19"/>
              </w:rPr>
              <w:t>Actual environment</w:t>
            </w:r>
          </w:p>
        </w:tc>
      </w:tr>
      <w:tr>
        <w:tc>
          <w:tcPr>
            <w:tcW w:type="dxa" w:w="2500"/>
            <w:vAlign w:val="center"/>
          </w:tcPr>
          <w:p>
            <w:pPr>
              <w:spacing w:after="0"/>
            </w:pPr>
            <w:r>
              <w:rPr>
                <w:rFonts w:ascii="Calibri" w:hAnsi="Calibri"/>
                <w:sz w:val="19"/>
              </w:rPr>
              <w:t>Date</w:t>
            </w:r>
          </w:p>
        </w:tc>
        <w:tc>
          <w:tcPr>
            <w:tcW w:type="dxa" w:w="6860"/>
            <w:vAlign w:val="center"/>
          </w:tcPr>
          <w:p>
            <w:pPr>
              <w:spacing w:after="0"/>
            </w:pPr>
            <w:r>
              <w:rPr>
                <w:rFonts w:ascii="Calibri" w:hAnsi="Calibri"/>
                <w:sz w:val="19"/>
              </w:rPr>
              <w:t>14 August 2026</w:t>
            </w:r>
          </w:p>
        </w:tc>
      </w:tr>
      <w:tr>
        <w:tc>
          <w:tcPr>
            <w:tcW w:type="dxa" w:w="2500"/>
            <w:vAlign w:val="center"/>
          </w:tcPr>
          <w:p>
            <w:pPr>
              <w:spacing w:after="0"/>
            </w:pPr>
            <w:r>
              <w:rPr>
                <w:rFonts w:ascii="Calibri" w:hAnsi="Calibri"/>
                <w:sz w:val="19"/>
              </w:rPr>
              <w:t>Device / OS</w:t>
            </w:r>
          </w:p>
        </w:tc>
        <w:tc>
          <w:tcPr>
            <w:tcW w:type="dxa" w:w="6860"/>
            <w:vAlign w:val="center"/>
          </w:tcPr>
          <w:p>
            <w:pPr>
              <w:spacing w:after="0"/>
            </w:pPr>
            <w:r>
              <w:rPr>
                <w:rFonts w:ascii="Calibri" w:hAnsi="Calibri"/>
                <w:sz w:val="19"/>
              </w:rPr>
              <w:t>Windows 11 desktop</w:t>
            </w:r>
          </w:p>
        </w:tc>
      </w:tr>
      <w:tr>
        <w:tc>
          <w:tcPr>
            <w:tcW w:type="dxa" w:w="2500"/>
            <w:vAlign w:val="center"/>
          </w:tcPr>
          <w:p>
            <w:pPr>
              <w:spacing w:after="0"/>
            </w:pPr>
            <w:r>
              <w:rPr>
                <w:rFonts w:ascii="Calibri" w:hAnsi="Calibri"/>
                <w:sz w:val="19"/>
              </w:rPr>
              <w:t>Browser</w:t>
            </w:r>
          </w:p>
        </w:tc>
        <w:tc>
          <w:tcPr>
            <w:tcW w:type="dxa" w:w="6860"/>
            <w:vAlign w:val="center"/>
          </w:tcPr>
          <w:p>
            <w:pPr>
              <w:spacing w:after="0"/>
            </w:pPr>
            <w:r>
              <w:rPr>
                <w:rFonts w:ascii="Calibri" w:hAnsi="Calibri"/>
                <w:sz w:val="19"/>
              </w:rPr>
              <w:t>Codex in-app Chromium browser, authenticated user session</w:t>
            </w:r>
          </w:p>
        </w:tc>
      </w:tr>
      <w:tr>
        <w:tc>
          <w:tcPr>
            <w:tcW w:type="dxa" w:w="2500"/>
            <w:vAlign w:val="center"/>
          </w:tcPr>
          <w:p>
            <w:pPr>
              <w:spacing w:after="0"/>
            </w:pPr>
            <w:r>
              <w:rPr>
                <w:rFonts w:ascii="Calibri" w:hAnsi="Calibri"/>
                <w:sz w:val="19"/>
              </w:rPr>
              <w:t>Frontend / backend</w:t>
            </w:r>
          </w:p>
        </w:tc>
        <w:tc>
          <w:tcPr>
            <w:tcW w:type="dxa" w:w="6860"/>
            <w:vAlign w:val="center"/>
          </w:tcPr>
          <w:p>
            <w:pPr>
              <w:spacing w:after="0"/>
            </w:pPr>
            <w:r>
              <w:rPr>
                <w:rFonts w:ascii="Calibri" w:hAnsi="Calibri"/>
                <w:sz w:val="19"/>
              </w:rPr>
              <w:t>http://127.0.0.1:5173 / http://127.0.0.1:8000</w:t>
            </w:r>
          </w:p>
        </w:tc>
      </w:tr>
      <w:tr>
        <w:tc>
          <w:tcPr>
            <w:tcW w:type="dxa" w:w="2500"/>
            <w:vAlign w:val="center"/>
          </w:tcPr>
          <w:p>
            <w:pPr>
              <w:spacing w:after="0"/>
            </w:pPr>
            <w:r>
              <w:rPr>
                <w:rFonts w:ascii="Calibri" w:hAnsi="Calibri"/>
                <w:sz w:val="19"/>
              </w:rPr>
              <w:t>Automated execution</w:t>
            </w:r>
          </w:p>
        </w:tc>
        <w:tc>
          <w:tcPr>
            <w:tcW w:type="dxa" w:w="6860"/>
            <w:vAlign w:val="center"/>
          </w:tcPr>
          <w:p>
            <w:pPr>
              <w:spacing w:after="0"/>
            </w:pPr>
            <w:r>
              <w:rPr>
                <w:rFonts w:ascii="Calibri" w:hAnsi="Calibri"/>
                <w:sz w:val="19"/>
              </w:rPr>
              <w:t>Python 3.12.13, pytest 9.1.1, SQLite in-memory isolation</w:t>
            </w:r>
          </w:p>
        </w:tc>
      </w:tr>
      <w:tr>
        <w:tc>
          <w:tcPr>
            <w:tcW w:type="dxa" w:w="2500"/>
            <w:vAlign w:val="center"/>
          </w:tcPr>
          <w:p>
            <w:pPr>
              <w:spacing w:after="0"/>
            </w:pPr>
            <w:r>
              <w:rPr>
                <w:rFonts w:ascii="Calibri" w:hAnsi="Calibri"/>
                <w:sz w:val="19"/>
              </w:rPr>
              <w:t>Command</w:t>
            </w:r>
          </w:p>
        </w:tc>
        <w:tc>
          <w:tcPr>
            <w:tcW w:type="dxa" w:w="6860"/>
            <w:vAlign w:val="center"/>
          </w:tcPr>
          <w:p>
            <w:pPr>
              <w:spacing w:after="0"/>
            </w:pPr>
            <w:r>
              <w:rPr>
                <w:rFonts w:ascii="Calibri" w:hAnsi="Calibri"/>
                <w:sz w:val="19"/>
              </w:rPr>
              <w:t>.venv\Scripts\python.exe -m pytest tests\backend -q --disable-warnings --tb=short</w:t>
            </w:r>
          </w:p>
        </w:tc>
      </w:tr>
    </w:tbl>
    <w:p/>
    <w:p>
      <w:r>
        <w:t>The project also contains a Selenium browser E2E suite. Its execution was attempted, but Selenium Manager could not obtain ChromeDriver because the environment could not reach the Chrome for Testing version feed. This is recorded as test-environment infrastructure, not a product defect. Direct browser checks were completed through the in-app browser session.</w:t>
      </w:r>
    </w:p>
    <w:p>
      <w:pPr>
        <w:pStyle w:val="Heading1"/>
      </w:pPr>
      <w:r>
        <w:t>3. Detailed Test Results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300"/>
            <w:vAlign w:val="center"/>
            <w:shd w:fill="F2F4F7"/>
          </w:tcPr>
          <w:p>
            <w:pPr>
              <w:spacing w:after="0"/>
            </w:pPr>
            <w:r>
              <w:rPr>
                <w:rFonts w:ascii="Calibri" w:hAnsi="Calibri"/>
                <w:b/>
                <w:color w:val="1F4D78"/>
                <w:sz w:val="19"/>
              </w:rPr>
              <w:t>ID</w:t>
            </w:r>
          </w:p>
        </w:tc>
        <w:tc>
          <w:tcPr>
            <w:tcW w:type="dxa" w:w="3450"/>
            <w:vAlign w:val="center"/>
            <w:shd w:fill="F2F4F7"/>
          </w:tcPr>
          <w:p>
            <w:pPr>
              <w:spacing w:after="0"/>
            </w:pPr>
            <w:r>
              <w:rPr>
                <w:rFonts w:ascii="Calibri" w:hAnsi="Calibri"/>
                <w:b/>
                <w:color w:val="1F4D78"/>
                <w:sz w:val="19"/>
              </w:rPr>
              <w:t>Test case</w:t>
            </w:r>
          </w:p>
        </w:tc>
        <w:tc>
          <w:tcPr>
            <w:tcW w:type="dxa" w:w="3250"/>
            <w:vAlign w:val="center"/>
            <w:shd w:fill="F2F4F7"/>
          </w:tcPr>
          <w:p>
            <w:pPr>
              <w:spacing w:after="0"/>
            </w:pPr>
            <w:r>
              <w:rPr>
                <w:rFonts w:ascii="Calibri" w:hAnsi="Calibri"/>
                <w:b/>
                <w:color w:val="1F4D78"/>
                <w:sz w:val="19"/>
              </w:rPr>
              <w:t>Evidence</w:t>
            </w:r>
          </w:p>
        </w:tc>
        <w:tc>
          <w:tcPr>
            <w:tcW w:type="dxa" w:w="1360"/>
            <w:vAlign w:val="center"/>
            <w:shd w:fill="F2F4F7"/>
          </w:tcPr>
          <w:p>
            <w:pPr>
              <w:spacing w:after="0"/>
            </w:pPr>
            <w:r>
              <w:rPr>
                <w:rFonts w:ascii="Calibri" w:hAnsi="Calibri"/>
                <w:b/>
                <w:color w:val="1F4D78"/>
                <w:sz w:val="19"/>
              </w:rPr>
              <w:t>Status</w:t>
            </w:r>
          </w:p>
        </w:tc>
      </w:tr>
      <w:tr>
        <w:tc>
          <w:tcPr>
            <w:tcW w:type="dxa" w:w="1300"/>
            <w:vAlign w:val="center"/>
          </w:tcPr>
          <w:p>
            <w:pPr>
              <w:spacing w:after="0"/>
            </w:pPr>
            <w:r>
              <w:rPr>
                <w:rFonts w:ascii="Calibri" w:hAnsi="Calibri"/>
                <w:sz w:val="19"/>
              </w:rPr>
              <w:t>TC_UC01_01</w:t>
            </w:r>
          </w:p>
        </w:tc>
        <w:tc>
          <w:tcPr>
            <w:tcW w:type="dxa" w:w="3450"/>
            <w:vAlign w:val="center"/>
          </w:tcPr>
          <w:p>
            <w:pPr>
              <w:spacing w:after="0"/>
            </w:pPr>
            <w:r>
              <w:rPr>
                <w:rFonts w:ascii="Calibri" w:hAnsi="Calibri"/>
                <w:sz w:val="19"/>
              </w:rPr>
              <w:t>Valid trip payload accepted</w:t>
            </w:r>
          </w:p>
        </w:tc>
        <w:tc>
          <w:tcPr>
            <w:tcW w:type="dxa" w:w="3250"/>
            <w:vAlign w:val="center"/>
          </w:tcPr>
          <w:p>
            <w:pPr>
              <w:spacing w:after="0"/>
            </w:pPr>
            <w:r>
              <w:rPr>
                <w:rFonts w:ascii="Calibri" w:hAnsi="Calibri"/>
                <w:sz w:val="19"/>
              </w:rPr>
              <w:t>Backend schema check</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TC_UC01_02</w:t>
            </w:r>
          </w:p>
        </w:tc>
        <w:tc>
          <w:tcPr>
            <w:tcW w:type="dxa" w:w="3450"/>
            <w:vAlign w:val="center"/>
          </w:tcPr>
          <w:p>
            <w:pPr>
              <w:spacing w:after="0"/>
            </w:pPr>
            <w:r>
              <w:rPr>
                <w:rFonts w:ascii="Calibri" w:hAnsi="Calibri"/>
                <w:sz w:val="19"/>
              </w:rPr>
              <w:t>Missing destination is rejected</w:t>
            </w:r>
          </w:p>
        </w:tc>
        <w:tc>
          <w:tcPr>
            <w:tcW w:type="dxa" w:w="3250"/>
            <w:vAlign w:val="center"/>
          </w:tcPr>
          <w:p>
            <w:pPr>
              <w:spacing w:after="0"/>
            </w:pPr>
            <w:r>
              <w:rPr>
                <w:rFonts w:ascii="Calibri" w:hAnsi="Calibri"/>
                <w:sz w:val="19"/>
              </w:rPr>
              <w:t>Backend schema + browser validation</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TC_UC01_03</w:t>
            </w:r>
          </w:p>
        </w:tc>
        <w:tc>
          <w:tcPr>
            <w:tcW w:type="dxa" w:w="3450"/>
            <w:vAlign w:val="center"/>
          </w:tcPr>
          <w:p>
            <w:pPr>
              <w:spacing w:after="0"/>
            </w:pPr>
            <w:r>
              <w:rPr>
                <w:rFonts w:ascii="Calibri" w:hAnsi="Calibri"/>
                <w:sz w:val="19"/>
              </w:rPr>
              <w:t>Missing dates are blocked in wizard</w:t>
            </w:r>
          </w:p>
        </w:tc>
        <w:tc>
          <w:tcPr>
            <w:tcW w:type="dxa" w:w="3250"/>
            <w:vAlign w:val="center"/>
          </w:tcPr>
          <w:p>
            <w:pPr>
              <w:spacing w:after="0"/>
            </w:pPr>
            <w:r>
              <w:rPr>
                <w:rFonts w:ascii="Calibri" w:hAnsi="Calibri"/>
                <w:sz w:val="19"/>
              </w:rPr>
              <w:t>Direct browser validation</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TC_UC01_04</w:t>
            </w:r>
          </w:p>
        </w:tc>
        <w:tc>
          <w:tcPr>
            <w:tcW w:type="dxa" w:w="3450"/>
            <w:vAlign w:val="center"/>
          </w:tcPr>
          <w:p>
            <w:pPr>
              <w:spacing w:after="0"/>
            </w:pPr>
            <w:r>
              <w:rPr>
                <w:rFonts w:ascii="Calibri" w:hAnsi="Calibri"/>
                <w:sz w:val="19"/>
              </w:rPr>
              <w:t>End date before start date is rejected</w:t>
            </w:r>
          </w:p>
        </w:tc>
        <w:tc>
          <w:tcPr>
            <w:tcW w:type="dxa" w:w="3250"/>
            <w:vAlign w:val="center"/>
          </w:tcPr>
          <w:p>
            <w:pPr>
              <w:spacing w:after="0"/>
            </w:pPr>
            <w:r>
              <w:rPr>
                <w:rFonts w:ascii="Calibri" w:hAnsi="Calibri"/>
                <w:sz w:val="19"/>
              </w:rPr>
              <w:t>Backend schema check</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TC_UC01_05</w:t>
            </w:r>
          </w:p>
        </w:tc>
        <w:tc>
          <w:tcPr>
            <w:tcW w:type="dxa" w:w="3450"/>
            <w:vAlign w:val="center"/>
          </w:tcPr>
          <w:p>
            <w:pPr>
              <w:spacing w:after="0"/>
            </w:pPr>
            <w:r>
              <w:rPr>
                <w:rFonts w:ascii="Calibri" w:hAnsi="Calibri"/>
                <w:sz w:val="19"/>
              </w:rPr>
              <w:t>Group size below one is rejected</w:t>
            </w:r>
          </w:p>
        </w:tc>
        <w:tc>
          <w:tcPr>
            <w:tcW w:type="dxa" w:w="3250"/>
            <w:vAlign w:val="center"/>
          </w:tcPr>
          <w:p>
            <w:pPr>
              <w:spacing w:after="0"/>
            </w:pPr>
            <w:r>
              <w:rPr>
                <w:rFonts w:ascii="Calibri" w:hAnsi="Calibri"/>
                <w:sz w:val="19"/>
              </w:rPr>
              <w:t>Backend schema check</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TC_UC02_01</w:t>
            </w:r>
          </w:p>
        </w:tc>
        <w:tc>
          <w:tcPr>
            <w:tcW w:type="dxa" w:w="3450"/>
            <w:vAlign w:val="center"/>
          </w:tcPr>
          <w:p>
            <w:pPr>
              <w:spacing w:after="0"/>
            </w:pPr>
            <w:r>
              <w:rPr>
                <w:rFonts w:ascii="Calibri" w:hAnsi="Calibri"/>
                <w:sz w:val="19"/>
              </w:rPr>
              <w:t>Fallback generation creates itinerary days</w:t>
            </w:r>
          </w:p>
        </w:tc>
        <w:tc>
          <w:tcPr>
            <w:tcW w:type="dxa" w:w="3250"/>
            <w:vAlign w:val="center"/>
          </w:tcPr>
          <w:p>
            <w:pPr>
              <w:spacing w:after="0"/>
            </w:pPr>
            <w:r>
              <w:rPr>
                <w:rFonts w:ascii="Calibri" w:hAnsi="Calibri"/>
                <w:sz w:val="19"/>
              </w:rPr>
              <w:t>AI service check</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TC_UC02_02</w:t>
            </w:r>
          </w:p>
        </w:tc>
        <w:tc>
          <w:tcPr>
            <w:tcW w:type="dxa" w:w="3450"/>
            <w:vAlign w:val="center"/>
          </w:tcPr>
          <w:p>
            <w:pPr>
              <w:spacing w:after="0"/>
            </w:pPr>
            <w:r>
              <w:rPr>
                <w:rFonts w:ascii="Calibri" w:hAnsi="Calibri"/>
                <w:sz w:val="19"/>
              </w:rPr>
              <w:t>Generated activities include a title and schedule</w:t>
            </w:r>
          </w:p>
        </w:tc>
        <w:tc>
          <w:tcPr>
            <w:tcW w:type="dxa" w:w="3250"/>
            <w:vAlign w:val="center"/>
          </w:tcPr>
          <w:p>
            <w:pPr>
              <w:spacing w:after="0"/>
            </w:pPr>
            <w:r>
              <w:rPr>
                <w:rFonts w:ascii="Calibri" w:hAnsi="Calibri"/>
                <w:sz w:val="19"/>
              </w:rPr>
              <w:t>AI service check</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TC_UC02_03</w:t>
            </w:r>
          </w:p>
        </w:tc>
        <w:tc>
          <w:tcPr>
            <w:tcW w:type="dxa" w:w="3450"/>
            <w:vAlign w:val="center"/>
          </w:tcPr>
          <w:p>
            <w:pPr>
              <w:spacing w:after="0"/>
            </w:pPr>
            <w:r>
              <w:rPr>
                <w:rFonts w:ascii="Calibri" w:hAnsi="Calibri"/>
                <w:sz w:val="19"/>
              </w:rPr>
              <w:t>Preview remains unsaved before acceptance</w:t>
            </w:r>
          </w:p>
        </w:tc>
        <w:tc>
          <w:tcPr>
            <w:tcW w:type="dxa" w:w="3250"/>
            <w:vAlign w:val="center"/>
          </w:tcPr>
          <w:p>
            <w:pPr>
              <w:spacing w:after="0"/>
            </w:pPr>
            <w:r>
              <w:rPr>
                <w:rFonts w:ascii="Calibri" w:hAnsi="Calibri"/>
                <w:sz w:val="19"/>
              </w:rPr>
              <w:t>Itinerary service check</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TC_UC02_04</w:t>
            </w:r>
          </w:p>
        </w:tc>
        <w:tc>
          <w:tcPr>
            <w:tcW w:type="dxa" w:w="3450"/>
            <w:vAlign w:val="center"/>
          </w:tcPr>
          <w:p>
            <w:pPr>
              <w:spacing w:after="0"/>
            </w:pPr>
            <w:r>
              <w:rPr>
                <w:rFonts w:ascii="Calibri" w:hAnsi="Calibri"/>
                <w:sz w:val="19"/>
              </w:rPr>
              <w:t>Accepted draft persists as itinerary</w:t>
            </w:r>
          </w:p>
        </w:tc>
        <w:tc>
          <w:tcPr>
            <w:tcW w:type="dxa" w:w="3250"/>
            <w:vAlign w:val="center"/>
          </w:tcPr>
          <w:p>
            <w:pPr>
              <w:spacing w:after="0"/>
            </w:pPr>
            <w:r>
              <w:rPr>
                <w:rFonts w:ascii="Calibri" w:hAnsi="Calibri"/>
                <w:sz w:val="19"/>
              </w:rPr>
              <w:t>Itinerary service check</w:t>
            </w:r>
          </w:p>
        </w:tc>
        <w:tc>
          <w:tcPr>
            <w:tcW w:type="dxa" w:w="1360"/>
            <w:vAlign w:val="center"/>
          </w:tcPr>
          <w:p>
            <w:pPr>
              <w:spacing w:after="0"/>
            </w:pPr>
            <w:r>
              <w:rPr>
                <w:rFonts w:ascii="Calibri" w:hAnsi="Calibri"/>
                <w:sz w:val="19"/>
              </w:rPr>
              <w:t>Passed</w:t>
            </w:r>
          </w:p>
        </w:tc>
      </w:tr>
      <w:tr>
        <w:tc>
          <w:tcPr>
            <w:tcW w:type="dxa" w:w="1300"/>
            <w:vAlign w:val="center"/>
          </w:tcPr>
          <w:p>
            <w:pPr>
              <w:spacing w:after="0"/>
            </w:pPr>
            <w:r>
              <w:rPr>
                <w:rFonts w:ascii="Calibri" w:hAnsi="Calibri"/>
                <w:sz w:val="19"/>
              </w:rPr>
              <w:t>TC_UC02_05</w:t>
            </w:r>
          </w:p>
        </w:tc>
        <w:tc>
          <w:tcPr>
            <w:tcW w:type="dxa" w:w="3450"/>
            <w:vAlign w:val="center"/>
          </w:tcPr>
          <w:p>
            <w:pPr>
              <w:spacing w:after="0"/>
            </w:pPr>
            <w:r>
              <w:rPr>
                <w:rFonts w:ascii="Calibri" w:hAnsi="Calibri"/>
                <w:sz w:val="19"/>
              </w:rPr>
              <w:t>Regeneration preserves manual activity and version restore</w:t>
            </w:r>
          </w:p>
        </w:tc>
        <w:tc>
          <w:tcPr>
            <w:tcW w:type="dxa" w:w="3250"/>
            <w:vAlign w:val="center"/>
          </w:tcPr>
          <w:p>
            <w:pPr>
              <w:spacing w:after="0"/>
            </w:pPr>
            <w:r>
              <w:rPr>
                <w:rFonts w:ascii="Calibri" w:hAnsi="Calibri"/>
                <w:sz w:val="19"/>
              </w:rPr>
              <w:t>Itinerary service check</w:t>
            </w:r>
          </w:p>
        </w:tc>
        <w:tc>
          <w:tcPr>
            <w:tcW w:type="dxa" w:w="1360"/>
            <w:vAlign w:val="center"/>
          </w:tcPr>
          <w:p>
            <w:pPr>
              <w:spacing w:after="0"/>
            </w:pPr>
            <w:r>
              <w:rPr>
                <w:rFonts w:ascii="Calibri" w:hAnsi="Calibri"/>
                <w:sz w:val="19"/>
              </w:rPr>
              <w:t>Passed</w:t>
            </w:r>
          </w:p>
        </w:tc>
      </w:tr>
    </w:tbl>
    <w:p/>
    <w:p>
      <w:pPr>
        <w:pStyle w:val="Heading1"/>
      </w:pPr>
      <w:r>
        <w:t>4. Defects and Observations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000"/>
            <w:vAlign w:val="center"/>
            <w:shd w:fill="F2F4F7"/>
          </w:tcPr>
          <w:p>
            <w:pPr>
              <w:spacing w:after="0"/>
            </w:pPr>
            <w:r>
              <w:rPr>
                <w:rFonts w:ascii="Calibri" w:hAnsi="Calibri"/>
                <w:b/>
                <w:color w:val="1F4D78"/>
                <w:sz w:val="19"/>
              </w:rPr>
              <w:t>ID</w:t>
            </w:r>
          </w:p>
        </w:tc>
        <w:tc>
          <w:tcPr>
            <w:tcW w:type="dxa" w:w="1200"/>
            <w:vAlign w:val="center"/>
            <w:shd w:fill="F2F4F7"/>
          </w:tcPr>
          <w:p>
            <w:pPr>
              <w:spacing w:after="0"/>
            </w:pPr>
            <w:r>
              <w:rPr>
                <w:rFonts w:ascii="Calibri" w:hAnsi="Calibri"/>
                <w:b/>
                <w:color w:val="1F4D78"/>
                <w:sz w:val="19"/>
              </w:rPr>
              <w:t>Type</w:t>
            </w:r>
          </w:p>
        </w:tc>
        <w:tc>
          <w:tcPr>
            <w:tcW w:type="dxa" w:w="1100"/>
            <w:vAlign w:val="center"/>
            <w:shd w:fill="F2F4F7"/>
          </w:tcPr>
          <w:p>
            <w:pPr>
              <w:spacing w:after="0"/>
            </w:pPr>
            <w:r>
              <w:rPr>
                <w:rFonts w:ascii="Calibri" w:hAnsi="Calibri"/>
                <w:b/>
                <w:color w:val="1F4D78"/>
                <w:sz w:val="19"/>
              </w:rPr>
              <w:t>Severity</w:t>
            </w:r>
          </w:p>
        </w:tc>
        <w:tc>
          <w:tcPr>
            <w:tcW w:type="dxa" w:w="6060"/>
            <w:vAlign w:val="center"/>
            <w:shd w:fill="F2F4F7"/>
          </w:tcPr>
          <w:p>
            <w:pPr>
              <w:spacing w:after="0"/>
            </w:pPr>
            <w:r>
              <w:rPr>
                <w:rFonts w:ascii="Calibri" w:hAnsi="Calibri"/>
                <w:b/>
                <w:color w:val="1F4D78"/>
                <w:sz w:val="19"/>
              </w:rPr>
              <w:t>Description and action</w:t>
            </w:r>
          </w:p>
        </w:tc>
      </w:tr>
      <w:tr>
        <w:tc>
          <w:tcPr>
            <w:tcW w:type="dxa" w:w="1000"/>
            <w:vAlign w:val="center"/>
          </w:tcPr>
          <w:p>
            <w:pPr>
              <w:spacing w:after="0"/>
            </w:pPr>
            <w:r>
              <w:rPr>
                <w:rFonts w:ascii="Calibri" w:hAnsi="Calibri"/>
                <w:sz w:val="19"/>
              </w:rPr>
              <w:t>OBS-01</w:t>
            </w:r>
          </w:p>
        </w:tc>
        <w:tc>
          <w:tcPr>
            <w:tcW w:type="dxa" w:w="1200"/>
            <w:vAlign w:val="center"/>
          </w:tcPr>
          <w:p>
            <w:pPr>
              <w:spacing w:after="0"/>
            </w:pPr>
            <w:r>
              <w:rPr>
                <w:rFonts w:ascii="Calibri" w:hAnsi="Calibri"/>
                <w:sz w:val="19"/>
              </w:rPr>
              <w:t>Environment</w:t>
            </w:r>
          </w:p>
        </w:tc>
        <w:tc>
          <w:tcPr>
            <w:tcW w:type="dxa" w:w="1100"/>
            <w:vAlign w:val="center"/>
          </w:tcPr>
          <w:p>
            <w:pPr>
              <w:spacing w:after="0"/>
            </w:pPr>
            <w:r>
              <w:rPr>
                <w:rFonts w:ascii="Calibri" w:hAnsi="Calibri"/>
                <w:sz w:val="19"/>
              </w:rPr>
              <w:t>Low</w:t>
            </w:r>
          </w:p>
        </w:tc>
        <w:tc>
          <w:tcPr>
            <w:tcW w:type="dxa" w:w="6060"/>
            <w:vAlign w:val="center"/>
          </w:tcPr>
          <w:p>
            <w:pPr>
              <w:spacing w:after="0"/>
            </w:pPr>
            <w:r>
              <w:rPr>
                <w:rFonts w:ascii="Calibri" w:hAnsi="Calibri"/>
                <w:sz w:val="19"/>
              </w:rPr>
              <w:t>Selenium browser E2E cannot start because ChromeDriver download is blocked. Use a pre-installed matching driver or allow the version-feed request before the next run.</w:t>
            </w:r>
          </w:p>
        </w:tc>
      </w:tr>
      <w:tr>
        <w:tc>
          <w:tcPr>
            <w:tcW w:type="dxa" w:w="1000"/>
            <w:vAlign w:val="center"/>
          </w:tcPr>
          <w:p>
            <w:pPr>
              <w:spacing w:after="0"/>
            </w:pPr>
            <w:r>
              <w:rPr>
                <w:rFonts w:ascii="Calibri" w:hAnsi="Calibri"/>
                <w:sz w:val="19"/>
              </w:rPr>
              <w:t>OBS-02</w:t>
            </w:r>
          </w:p>
        </w:tc>
        <w:tc>
          <w:tcPr>
            <w:tcW w:type="dxa" w:w="1200"/>
            <w:vAlign w:val="center"/>
          </w:tcPr>
          <w:p>
            <w:pPr>
              <w:spacing w:after="0"/>
            </w:pPr>
            <w:r>
              <w:rPr>
                <w:rFonts w:ascii="Calibri" w:hAnsi="Calibri"/>
                <w:sz w:val="19"/>
              </w:rPr>
              <w:t>Quality</w:t>
            </w:r>
          </w:p>
        </w:tc>
        <w:tc>
          <w:tcPr>
            <w:tcW w:type="dxa" w:w="1100"/>
            <w:vAlign w:val="center"/>
          </w:tcPr>
          <w:p>
            <w:pPr>
              <w:spacing w:after="0"/>
            </w:pPr>
            <w:r>
              <w:rPr>
                <w:rFonts w:ascii="Calibri" w:hAnsi="Calibri"/>
                <w:sz w:val="19"/>
              </w:rPr>
              <w:t>Low</w:t>
            </w:r>
          </w:p>
        </w:tc>
        <w:tc>
          <w:tcPr>
            <w:tcW w:type="dxa" w:w="6060"/>
            <w:vAlign w:val="center"/>
          </w:tcPr>
          <w:p>
            <w:pPr>
              <w:spacing w:after="0"/>
            </w:pPr>
            <w:r>
              <w:rPr>
                <w:rFonts w:ascii="Calibri" w:hAnsi="Calibri"/>
                <w:sz w:val="19"/>
              </w:rPr>
              <w:t>The backend suite emits deprecation warnings for datetime.utcnow. No functional behaviour failed; schedule migration to timezone-aware UTC calls.</w:t>
            </w:r>
          </w:p>
        </w:tc>
      </w:tr>
    </w:tbl>
    <w:p/>
    <w:p>
      <w:r>
        <w:t>No functional product defect was found in the executed UC01/UC02 scope.</w:t>
      </w:r>
    </w:p>
    <w:p>
      <w:pPr>
        <w:pStyle w:val="Heading1"/>
      </w:pPr>
      <w:r>
        <w:t>5. Testing Session Evidence</w:t>
      </w:r>
    </w:p>
    <w:p>
      <w:r>
        <w:drawing>
          <wp:inline xmlns:a="http://schemas.openxmlformats.org/drawingml/2006/main" xmlns:pic="http://schemas.openxmlformats.org/drawingml/2006/picture">
            <wp:extent cx="5715000" cy="2362200"/>
            <wp:docPr id="1" name="Picture 1"/>
            <wp:cNvGraphicFramePr>
              <a:graphicFrameLocks noChangeAspect="1"/>
            </wp:cNvGraphicFramePr>
            <a:graphic>
              <a:graphicData uri="http://schemas.openxmlformats.org/drawingml/2006/picture">
                <pic:pic>
                  <pic:nvPicPr>
                    <pic:cNvPr id="0" name="04-backend-pytest-run.png"/>
                    <pic:cNvPicPr/>
                  </pic:nvPicPr>
                  <pic:blipFill>
                    <a:blip r:embed="rId11"/>
                    <a:stretch>
                      <a:fillRect/>
                    </a:stretch>
                  </pic:blipFill>
                  <pic:spPr>
                    <a:xfrm>
                      <a:off x="0" y="0"/>
                      <a:ext cx="5715000" cy="2362200"/>
                    </a:xfrm>
                    <a:prstGeom prst="rect"/>
                  </pic:spPr>
                </pic:pic>
              </a:graphicData>
            </a:graphic>
          </wp:inline>
        </w:drawing>
      </w:r>
    </w:p>
    <w:p>
      <w:pPr>
        <w:jc w:val="center"/>
      </w:pPr>
      <w:r>
        <w:rPr>
          <w:i/>
          <w:color w:val="5B6573"/>
          <w:sz w:val="18"/>
        </w:rPr>
        <w:t>Figure 1. Automated pytest session for the backend checks; actual output: 13 passed.</w:t>
      </w:r>
    </w:p>
    <w:p/>
    <w:p>
      <w:r>
        <w:drawing>
          <wp:inline xmlns:a="http://schemas.openxmlformats.org/drawingml/2006/main" xmlns:pic="http://schemas.openxmlformats.org/drawingml/2006/picture">
            <wp:extent cx="5715000" cy="3216664"/>
            <wp:docPr id="2" name="Picture 2"/>
            <wp:cNvGraphicFramePr>
              <a:graphicFrameLocks noChangeAspect="1"/>
            </wp:cNvGraphicFramePr>
            <a:graphic>
              <a:graphicData uri="http://schemas.openxmlformats.org/drawingml/2006/picture">
                <pic:pic>
                  <pic:nvPicPr>
                    <pic:cNvPr id="0" name="02-trip-creation-form-testing.png"/>
                    <pic:cNvPicPr/>
                  </pic:nvPicPr>
                  <pic:blipFill>
                    <a:blip r:embed="rId12"/>
                    <a:stretch>
                      <a:fillRect/>
                    </a:stretch>
                  </pic:blipFill>
                  <pic:spPr>
                    <a:xfrm>
                      <a:off x="0" y="0"/>
                      <a:ext cx="5715000" cy="3216664"/>
                    </a:xfrm>
                    <a:prstGeom prst="rect"/>
                  </pic:spPr>
                </pic:pic>
              </a:graphicData>
            </a:graphic>
          </wp:inline>
        </w:drawing>
      </w:r>
    </w:p>
    <w:p>
      <w:pPr>
        <w:jc w:val="center"/>
      </w:pPr>
      <w:r>
        <w:rPr>
          <w:i/>
          <w:color w:val="5B6573"/>
          <w:sz w:val="18"/>
        </w:rPr>
        <w:t>Figure 2. UC01 trip-creation workflow with the full workspace sidebar visible.</w:t>
      </w:r>
    </w:p>
    <w:p/>
    <w:p>
      <w:r>
        <w:drawing>
          <wp:inline xmlns:a="http://schemas.openxmlformats.org/drawingml/2006/main" xmlns:pic="http://schemas.openxmlformats.org/drawingml/2006/picture">
            <wp:extent cx="5715000" cy="3216664"/>
            <wp:docPr id="3" name="Picture 3"/>
            <wp:cNvGraphicFramePr>
              <a:graphicFrameLocks noChangeAspect="1"/>
            </wp:cNvGraphicFramePr>
            <a:graphic>
              <a:graphicData uri="http://schemas.openxmlformats.org/drawingml/2006/picture">
                <pic:pic>
                  <pic:nvPicPr>
                    <pic:cNvPr id="0" name="03-trip-form-validation-testing.png"/>
                    <pic:cNvPicPr/>
                  </pic:nvPicPr>
                  <pic:blipFill>
                    <a:blip r:embed="rId13"/>
                    <a:stretch>
                      <a:fillRect/>
                    </a:stretch>
                  </pic:blipFill>
                  <pic:spPr>
                    <a:xfrm>
                      <a:off x="0" y="0"/>
                      <a:ext cx="5715000" cy="3216664"/>
                    </a:xfrm>
                    <a:prstGeom prst="rect"/>
                  </pic:spPr>
                </pic:pic>
              </a:graphicData>
            </a:graphic>
          </wp:inline>
        </w:drawing>
      </w:r>
    </w:p>
    <w:p>
      <w:pPr>
        <w:jc w:val="center"/>
      </w:pPr>
      <w:r>
        <w:rPr>
          <w:i/>
          <w:color w:val="5B6573"/>
          <w:sz w:val="18"/>
        </w:rPr>
        <w:t>Figure 3. UC01 validation state showing required date feedback in the trip details form.</w:t>
      </w:r>
    </w:p>
    <w:p/>
    <w:p>
      <w:pPr>
        <w:pStyle w:val="Heading1"/>
      </w:pPr>
      <w:r>
        <w:t>6. Conclusion</w:t>
      </w:r>
    </w:p>
    <w:p>
      <w:r>
        <w:t>UC01 and UC02 meet the executed PA4 functional checks. The current test evidence supports trip creation validation and deterministic itinerary generation, review, save, regeneration, and restoration behaviour. Before a broader release test cycle, repair the Selenium driver setup and execute the retained browser E2E suite across the target browsers.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Group 11 | 14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Wandora | PA4 Test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PA4 Test Report</dc:title>
  <dc:subject>Wandora PA4 software testing</dc:subject>
  <dc:creator>Group 11</dc:creator>
  <cp:keywords/>
  <dc:description>generated by python-docx</dc:description>
  <cp:lastModifiedBy/>
  <cp:revision>1</cp:revision>
  <dcterms:created xsi:type="dcterms:W3CDTF">2013-12-23T23:15:00Z</dcterms:created>
  <dcterms:modified xsi:type="dcterms:W3CDTF">2013-12-23T23:15:00Z</dcterms:modified>
  <cp:category/>
</cp:coreProperties>
</file>