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Aptos" w:hAnsi="Aptos" w:eastAsia="Aptos"/>
          <w:b/>
          <w:color w:val="111111"/>
          <w:sz w:val="60"/>
        </w:rPr>
        <w:t>AprIQ</w:t>
      </w:r>
      <w:r>
        <w:rPr>
          <w:rFonts w:ascii="Aptos" w:hAnsi="Aptos" w:eastAsia="Aptos"/>
          <w:b/>
          <w:color w:val="0F4C5C"/>
          <w:sz w:val="36"/>
        </w:rPr>
        <w:br/>
        <w:t>Master Brand, UI Kit and Screen Specs</w:t>
      </w:r>
    </w:p>
    <w:p>
      <w:pPr>
        <w:spacing w:before="0" w:after="360" w:line="276" w:lineRule="auto"/>
        <w:jc w:val="center"/>
      </w:pPr>
      <w:r>
        <w:rPr>
          <w:rFonts w:ascii="Roboto" w:hAnsi="Roboto" w:eastAsia="Roboto"/>
          <w:b w:val="0"/>
          <w:color w:val="979899"/>
          <w:sz w:val="22"/>
        </w:rPr>
        <w:t>Approved source-of-truth for brand expression, interface tokens, component rules and all screen-level design guidance.</w:t>
      </w:r>
    </w:p>
    <w:tbl>
      <w:tblPr>
        <w:tblW w:type="auto" w:w="0"/>
        <w:jc w:val="center"/>
        <w:tblLayout w:type="fixed"/>
        <w:tblLook w:firstColumn="1" w:firstRow="1" w:lastColumn="0" w:lastRow="0" w:noHBand="0" w:noVBand="1" w:val="04A0"/>
      </w:tblPr>
      <w:tblGrid>
        <w:gridCol w:w="2736"/>
        <w:gridCol w:w="2736"/>
        <w:gridCol w:w="3168"/>
      </w:tblGrid>
      <w:tr>
        <w:tc>
          <w:tcPr>
            <w:tcW w:type="dxa" w:w="3312"/>
            <w:shd w:fill="F9FAFA"/>
            <w:tcBorders>
              <w:top w:val="single" w:sz="8" w:space="0" w:color="E4E5E5"/>
              <w:left w:val="single" w:sz="8" w:space="0" w:color="E4E5E5"/>
              <w:bottom w:val="single" w:sz="8" w:space="0" w:color="E4E5E5"/>
              <w:right w:val="single" w:sz="8" w:space="0" w:color="E4E5E5"/>
            </w:tcBorders>
            <w:vAlign w:val="center"/>
          </w:tcPr>
          <w:p>
            <w:pPr>
              <w:spacing w:before="0" w:after="80" w:line="276" w:lineRule="auto"/>
            </w:pPr>
            <w:r>
              <w:rPr>
                <w:rFonts w:ascii="Aptos" w:hAnsi="Aptos" w:eastAsia="Aptos"/>
                <w:b/>
                <w:color w:val="0F4C5C"/>
                <w:sz w:val="21"/>
              </w:rPr>
              <w:t>Core position</w:t>
            </w:r>
          </w:p>
          <w:p>
            <w:pPr>
              <w:spacing w:before="0" w:after="0" w:line="276" w:lineRule="auto"/>
            </w:pPr>
            <w:r>
              <w:rPr>
                <w:rFonts w:ascii="Roboto" w:hAnsi="Roboto" w:eastAsia="Roboto"/>
                <w:b w:val="0"/>
                <w:color w:val="111111"/>
                <w:sz w:val="18"/>
              </w:rPr>
              <w:t>Professional, minimal, modern, light, calm, precise, structured, timeless</w:t>
            </w:r>
          </w:p>
        </w:tc>
        <w:tc>
          <w:tcPr>
            <w:tcW w:type="dxa" w:w="3312"/>
            <w:shd w:fill="F9FAFA"/>
            <w:tcBorders>
              <w:top w:val="single" w:sz="8" w:space="0" w:color="E4E5E5"/>
              <w:left w:val="single" w:sz="8" w:space="0" w:color="E4E5E5"/>
              <w:bottom w:val="single" w:sz="8" w:space="0" w:color="E4E5E5"/>
              <w:right w:val="single" w:sz="8" w:space="0" w:color="E4E5E5"/>
            </w:tcBorders>
            <w:vAlign w:val="center"/>
          </w:tcPr>
          <w:p>
            <w:pPr>
              <w:spacing w:before="0" w:after="80" w:line="276" w:lineRule="auto"/>
            </w:pPr>
            <w:r>
              <w:rPr>
                <w:rFonts w:ascii="Aptos" w:hAnsi="Aptos" w:eastAsia="Aptos"/>
                <w:b/>
                <w:color w:val="0F4C5C"/>
                <w:sz w:val="21"/>
              </w:rPr>
              <w:t>Approved palette</w:t>
            </w:r>
          </w:p>
          <w:p>
            <w:pPr>
              <w:spacing w:before="0" w:after="0" w:line="276" w:lineRule="auto"/>
            </w:pPr>
            <w:r>
              <w:rPr>
                <w:rFonts w:ascii="Roboto" w:hAnsi="Roboto" w:eastAsia="Roboto"/>
                <w:b w:val="0"/>
                <w:color w:val="111111"/>
                <w:sz w:val="18"/>
              </w:rPr>
              <w:t>Use only #0F4C5C, #111111, #F9FAFA, #E4E5E5, #979899, #FF8210, #BFD1D6</w:t>
            </w:r>
          </w:p>
        </w:tc>
        <w:tc>
          <w:tcPr>
            <w:tcW w:type="dxa" w:w="3312"/>
            <w:shd w:fill="F9FAFA"/>
            <w:tcBorders>
              <w:top w:val="single" w:sz="8" w:space="0" w:color="E4E5E5"/>
              <w:left w:val="single" w:sz="8" w:space="0" w:color="E4E5E5"/>
              <w:bottom w:val="single" w:sz="8" w:space="0" w:color="E4E5E5"/>
              <w:right w:val="single" w:sz="8" w:space="0" w:color="E4E5E5"/>
            </w:tcBorders>
            <w:vAlign w:val="center"/>
          </w:tcPr>
          <w:p>
            <w:pPr>
              <w:spacing w:before="0" w:after="80" w:line="276" w:lineRule="auto"/>
            </w:pPr>
            <w:r>
              <w:rPr>
                <w:rFonts w:ascii="Aptos" w:hAnsi="Aptos" w:eastAsia="Aptos"/>
                <w:b/>
                <w:color w:val="0F4C5C"/>
                <w:sz w:val="21"/>
              </w:rPr>
              <w:t>Surface rule</w:t>
            </w:r>
          </w:p>
          <w:p>
            <w:pPr>
              <w:spacing w:before="0" w:after="0" w:line="276" w:lineRule="auto"/>
            </w:pPr>
            <w:r>
              <w:rPr>
                <w:rFonts w:ascii="Roboto" w:hAnsi="Roboto" w:eastAsia="Roboto"/>
                <w:b w:val="0"/>
                <w:color w:val="111111"/>
                <w:sz w:val="18"/>
              </w:rPr>
              <w:t>#111111 is the darkest surface and strongest text. #F9FAFA is the lightest surface.</w:t>
            </w:r>
          </w:p>
        </w:tc>
      </w:tr>
    </w:tbl>
    <w:p>
      <w:r>
        <w:br w:type="page"/>
      </w:r>
    </w:p>
    <w:p>
      <w:pPr>
        <w:spacing w:before="0" w:after="40" w:line="276" w:lineRule="auto"/>
      </w:pPr>
      <w:r>
        <w:rPr>
          <w:rFonts w:ascii="Roboto" w:hAnsi="Roboto" w:eastAsia="Roboto"/>
          <w:b/>
          <w:caps/>
          <w:color w:val="0F4C5C"/>
          <w:sz w:val="17"/>
        </w:rPr>
        <w:t>01</w:t>
      </w:r>
    </w:p>
    <w:p>
      <w:pPr>
        <w:pStyle w:val="Heading1"/>
        <w:spacing w:before="0" w:after="120" w:line="276" w:lineRule="auto"/>
      </w:pPr>
      <w:r>
        <w:rPr>
          <w:rFonts w:ascii="Aptos" w:hAnsi="Aptos" w:eastAsia="Aptos"/>
          <w:b/>
          <w:color w:val="111111"/>
          <w:sz w:val="32"/>
        </w:rPr>
        <w:t>System summary</w:t>
      </w:r>
    </w:p>
    <w:p>
      <w:pPr>
        <w:spacing w:before="0" w:after="240" w:line="276" w:lineRule="auto"/>
      </w:pPr>
      <w:r>
        <w:rPr>
          <w:rFonts w:ascii="Roboto" w:hAnsi="Roboto" w:eastAsia="Roboto"/>
          <w:b w:val="0"/>
          <w:color w:val="979899"/>
          <w:sz w:val="21"/>
        </w:rPr>
        <w:t>This document condenses the approved AprIQ brand rules, interface tokens, component behavior and screen-by-screen intent into one implementation-ready reference.</w:t>
      </w:r>
    </w:p>
    <w:tbl>
      <w:tblPr>
        <w:tblW w:type="auto" w:w="0"/>
        <w:jc w:val="center"/>
        <w:tblLayout w:type="fixed"/>
        <w:tblLook w:firstColumn="1" w:firstRow="1" w:lastColumn="0" w:lastRow="0" w:noHBand="0" w:noVBand="1" w:val="04A0"/>
      </w:tblPr>
      <w:tblGrid>
        <w:gridCol w:w="1872"/>
        <w:gridCol w:w="2160"/>
        <w:gridCol w:w="2448"/>
        <w:gridCol w:w="3312"/>
      </w:tblGrid>
      <w:tr>
        <w:tc>
          <w:tcPr>
            <w:tcW w:type="dxa" w:w="2484"/>
            <w:shd w:fill="BFD1D6"/>
            <w:tcBorders>
              <w:top w:val="single" w:sz="8" w:space="0" w:color="E4E5E5"/>
              <w:left w:val="single" w:sz="8" w:space="0" w:color="E4E5E5"/>
              <w:bottom w:val="single" w:sz="8" w:space="0" w:color="E4E5E5"/>
              <w:right w:val="single" w:sz="8" w:space="0" w:color="E4E5E5"/>
            </w:tcBorders>
          </w:tcPr>
          <w:p>
            <w:pPr>
              <w:spacing w:before="0" w:after="0" w:line="276" w:lineRule="auto"/>
            </w:pPr>
            <w:r>
              <w:rPr>
                <w:rFonts w:ascii="Roboto" w:hAnsi="Roboto" w:eastAsia="Roboto"/>
                <w:b/>
                <w:color w:val="0F4C5C"/>
                <w:sz w:val="19"/>
              </w:rPr>
              <w:t>Area</w:t>
            </w:r>
          </w:p>
        </w:tc>
        <w:tc>
          <w:tcPr>
            <w:tcW w:type="dxa" w:w="2484"/>
            <w:shd w:fill="BFD1D6"/>
            <w:tcBorders>
              <w:top w:val="single" w:sz="8" w:space="0" w:color="E4E5E5"/>
              <w:left w:val="single" w:sz="8" w:space="0" w:color="E4E5E5"/>
              <w:bottom w:val="single" w:sz="8" w:space="0" w:color="E4E5E5"/>
              <w:right w:val="single" w:sz="8" w:space="0" w:color="E4E5E5"/>
            </w:tcBorders>
          </w:tcPr>
          <w:p>
            <w:pPr>
              <w:spacing w:before="0" w:after="0" w:line="276" w:lineRule="auto"/>
            </w:pPr>
            <w:r>
              <w:rPr>
                <w:rFonts w:ascii="Roboto" w:hAnsi="Roboto" w:eastAsia="Roboto"/>
                <w:b/>
                <w:color w:val="0F4C5C"/>
                <w:sz w:val="19"/>
              </w:rPr>
              <w:t>Approved direction</w:t>
            </w:r>
          </w:p>
        </w:tc>
        <w:tc>
          <w:tcPr>
            <w:tcW w:type="dxa" w:w="2484"/>
            <w:shd w:fill="BFD1D6"/>
            <w:tcBorders>
              <w:top w:val="single" w:sz="8" w:space="0" w:color="E4E5E5"/>
              <w:left w:val="single" w:sz="8" w:space="0" w:color="E4E5E5"/>
              <w:bottom w:val="single" w:sz="8" w:space="0" w:color="E4E5E5"/>
              <w:right w:val="single" w:sz="8" w:space="0" w:color="E4E5E5"/>
            </w:tcBorders>
          </w:tcPr>
          <w:p>
            <w:pPr>
              <w:spacing w:before="0" w:after="0" w:line="276" w:lineRule="auto"/>
            </w:pPr>
            <w:r>
              <w:rPr>
                <w:rFonts w:ascii="Roboto" w:hAnsi="Roboto" w:eastAsia="Roboto"/>
                <w:b/>
                <w:color w:val="0F4C5C"/>
                <w:sz w:val="19"/>
              </w:rPr>
              <w:t>Avoid</w:t>
            </w:r>
          </w:p>
        </w:tc>
        <w:tc>
          <w:tcPr>
            <w:tcW w:type="dxa" w:w="2484"/>
            <w:shd w:fill="BFD1D6"/>
            <w:tcBorders>
              <w:top w:val="single" w:sz="8" w:space="0" w:color="E4E5E5"/>
              <w:left w:val="single" w:sz="8" w:space="0" w:color="E4E5E5"/>
              <w:bottom w:val="single" w:sz="8" w:space="0" w:color="E4E5E5"/>
              <w:right w:val="single" w:sz="8" w:space="0" w:color="E4E5E5"/>
            </w:tcBorders>
          </w:tcPr>
          <w:p>
            <w:pPr>
              <w:spacing w:before="0" w:after="0" w:line="276" w:lineRule="auto"/>
            </w:pPr>
            <w:r>
              <w:rPr>
                <w:rFonts w:ascii="Roboto" w:hAnsi="Roboto" w:eastAsia="Roboto"/>
                <w:b/>
                <w:color w:val="0F4C5C"/>
                <w:sz w:val="19"/>
              </w:rPr>
              <w:t>Notes</w:t>
            </w:r>
          </w:p>
        </w:tc>
      </w:tr>
      <w:tr>
        <w:tc>
          <w:tcPr>
            <w:tcW w:type="dxa" w:w="1872"/>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Tone</w:t>
            </w:r>
          </w:p>
        </w:tc>
        <w:tc>
          <w:tcPr>
            <w:tcW w:type="dxa" w:w="2160"/>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Quietly premium</w:t>
            </w:r>
          </w:p>
        </w:tc>
        <w:tc>
          <w:tcPr>
            <w:tcW w:type="dxa" w:w="2448"/>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Flashy or playful</w:t>
            </w:r>
          </w:p>
        </w:tc>
        <w:tc>
          <w:tcPr>
            <w:tcW w:type="dxa" w:w="3312"/>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Use structure and restraint before decoration</w:t>
            </w:r>
          </w:p>
        </w:tc>
      </w:tr>
      <w:tr>
        <w:tc>
          <w:tcPr>
            <w:tcW w:type="dxa" w:w="1872"/>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Corners</w:t>
            </w:r>
          </w:p>
        </w:tc>
        <w:tc>
          <w:tcPr>
            <w:tcW w:type="dxa" w:w="2160"/>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Medium refined</w:t>
            </w:r>
          </w:p>
        </w:tc>
        <w:tc>
          <w:tcPr>
            <w:tcW w:type="dxa" w:w="2448"/>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Square or overly soft</w:t>
            </w:r>
          </w:p>
        </w:tc>
        <w:tc>
          <w:tcPr>
            <w:tcW w:type="dxa" w:w="3312"/>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Buttons 12px, panels 16px, feature blocks 20px</w:t>
            </w:r>
          </w:p>
        </w:tc>
      </w:tr>
      <w:tr>
        <w:tc>
          <w:tcPr>
            <w:tcW w:type="dxa" w:w="1872"/>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Motion</w:t>
            </w:r>
          </w:p>
        </w:tc>
        <w:tc>
          <w:tcPr>
            <w:tcW w:type="dxa" w:w="2160"/>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Very subtle</w:t>
            </w:r>
          </w:p>
        </w:tc>
        <w:tc>
          <w:tcPr>
            <w:tcW w:type="dxa" w:w="2448"/>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Dramatic fades or bounce</w:t>
            </w:r>
          </w:p>
        </w:tc>
        <w:tc>
          <w:tcPr>
            <w:tcW w:type="dxa" w:w="3312"/>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Smoothness, not spectacle</w:t>
            </w:r>
          </w:p>
        </w:tc>
      </w:tr>
      <w:tr>
        <w:tc>
          <w:tcPr>
            <w:tcW w:type="dxa" w:w="1872"/>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Colour</w:t>
            </w:r>
          </w:p>
        </w:tc>
        <w:tc>
          <w:tcPr>
            <w:tcW w:type="dxa" w:w="2160"/>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Restrained palette use</w:t>
            </w:r>
          </w:p>
        </w:tc>
        <w:tc>
          <w:tcPr>
            <w:tcW w:type="dxa" w:w="2448"/>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Extra status colours</w:t>
            </w:r>
          </w:p>
        </w:tc>
        <w:tc>
          <w:tcPr>
            <w:tcW w:type="dxa" w:w="3312"/>
            <w:shd w:fill="F9FAFA"/>
            <w:tcBorders>
              <w:top w:val="single" w:sz="6" w:space="0" w:color="E4E5E5"/>
              <w:left w:val="single" w:sz="6" w:space="0" w:color="E4E5E5"/>
              <w:bottom w:val="single" w:sz="6" w:space="0" w:color="E4E5E5"/>
              <w:right w:val="single" w:sz="6" w:space="0" w:color="E4E5E5"/>
            </w:tcBorders>
            <w:vAlign w:val="center"/>
          </w:tcPr>
          <w:p>
            <w:pPr>
              <w:spacing w:before="0" w:after="0" w:line="276" w:lineRule="auto"/>
            </w:pPr>
            <w:r>
              <w:rPr>
                <w:rFonts w:ascii="Roboto" w:hAnsi="Roboto" w:eastAsia="Roboto"/>
                <w:b w:val="0"/>
                <w:color w:val="111111"/>
                <w:sz w:val="18"/>
              </w:rPr>
              <w:t>Orange is sparing; pale blue is calmer support</w:t>
            </w:r>
          </w:p>
        </w:tc>
      </w:tr>
    </w:tbl>
    <w:p/>
    <w:p>
      <w:pPr>
        <w:spacing w:before="0" w:after="40" w:line="276" w:lineRule="auto"/>
      </w:pPr>
      <w:r>
        <w:rPr>
          <w:rFonts w:ascii="Roboto" w:hAnsi="Roboto" w:eastAsia="Roboto"/>
          <w:b/>
          <w:caps/>
          <w:color w:val="0F4C5C"/>
          <w:sz w:val="17"/>
        </w:rPr>
        <w:t>02</w:t>
      </w:r>
    </w:p>
    <w:p>
      <w:pPr>
        <w:pStyle w:val="Heading1"/>
        <w:spacing w:before="0" w:after="120" w:line="276" w:lineRule="auto"/>
      </w:pPr>
      <w:r>
        <w:rPr>
          <w:rFonts w:ascii="Aptos" w:hAnsi="Aptos" w:eastAsia="Aptos"/>
          <w:b/>
          <w:color w:val="111111"/>
          <w:sz w:val="32"/>
        </w:rPr>
        <w:t>Approved colour system</w:t>
      </w:r>
    </w:p>
    <w:tbl>
      <w:tblPr>
        <w:tblW w:type="auto" w:w="0"/>
        <w:jc w:val="center"/>
        <w:tblLayout w:type="fixed"/>
        <w:tblLook w:firstColumn="1" w:firstRow="1" w:lastColumn="0" w:lastRow="0" w:noHBand="0" w:noVBand="1" w:val="04A0"/>
      </w:tblPr>
      <w:tblGrid>
        <w:gridCol w:w="2016"/>
        <w:gridCol w:w="1584"/>
        <w:gridCol w:w="1440"/>
        <w:gridCol w:w="4752"/>
      </w:tblGrid>
      <w:tr>
        <w:tc>
          <w:tcPr>
            <w:tcW w:type="dxa" w:w="2484"/>
            <w:shd w:fill="BFD1D6"/>
            <w:tcBorders>
              <w:top w:val="single" w:sz="8" w:space="0" w:color="E4E5E5"/>
              <w:left w:val="single" w:sz="8" w:space="0" w:color="E4E5E5"/>
              <w:bottom w:val="single" w:sz="8" w:space="0" w:color="E4E5E5"/>
              <w:right w:val="single" w:sz="8" w:space="0" w:color="E4E5E5"/>
            </w:tcBorders>
          </w:tcPr>
          <w:p>
            <w:r>
              <w:rPr>
                <w:rFonts w:ascii="Roboto" w:hAnsi="Roboto" w:eastAsia="Roboto"/>
                <w:b/>
                <w:color w:val="0F4C5C"/>
                <w:sz w:val="19"/>
              </w:rPr>
              <w:t>Name</w:t>
            </w:r>
          </w:p>
        </w:tc>
        <w:tc>
          <w:tcPr>
            <w:tcW w:type="dxa" w:w="2484"/>
            <w:shd w:fill="BFD1D6"/>
            <w:tcBorders>
              <w:top w:val="single" w:sz="8" w:space="0" w:color="E4E5E5"/>
              <w:left w:val="single" w:sz="8" w:space="0" w:color="E4E5E5"/>
              <w:bottom w:val="single" w:sz="8" w:space="0" w:color="E4E5E5"/>
              <w:right w:val="single" w:sz="8" w:space="0" w:color="E4E5E5"/>
            </w:tcBorders>
          </w:tcPr>
          <w:p>
            <w:r>
              <w:rPr>
                <w:rFonts w:ascii="Roboto" w:hAnsi="Roboto" w:eastAsia="Roboto"/>
                <w:b/>
                <w:color w:val="0F4C5C"/>
                <w:sz w:val="19"/>
              </w:rPr>
              <w:t>Hex</w:t>
            </w:r>
          </w:p>
        </w:tc>
        <w:tc>
          <w:tcPr>
            <w:tcW w:type="dxa" w:w="2484"/>
            <w:shd w:fill="BFD1D6"/>
            <w:tcBorders>
              <w:top w:val="single" w:sz="8" w:space="0" w:color="E4E5E5"/>
              <w:left w:val="single" w:sz="8" w:space="0" w:color="E4E5E5"/>
              <w:bottom w:val="single" w:sz="8" w:space="0" w:color="E4E5E5"/>
              <w:right w:val="single" w:sz="8" w:space="0" w:color="E4E5E5"/>
            </w:tcBorders>
          </w:tcPr>
          <w:p>
            <w:r>
              <w:rPr>
                <w:rFonts w:ascii="Roboto" w:hAnsi="Roboto" w:eastAsia="Roboto"/>
                <w:b/>
                <w:color w:val="0F4C5C"/>
                <w:sz w:val="19"/>
              </w:rPr>
              <w:t>Swatch</w:t>
            </w:r>
          </w:p>
        </w:tc>
        <w:tc>
          <w:tcPr>
            <w:tcW w:type="dxa" w:w="2484"/>
            <w:shd w:fill="BFD1D6"/>
            <w:tcBorders>
              <w:top w:val="single" w:sz="8" w:space="0" w:color="E4E5E5"/>
              <w:left w:val="single" w:sz="8" w:space="0" w:color="E4E5E5"/>
              <w:bottom w:val="single" w:sz="8" w:space="0" w:color="E4E5E5"/>
              <w:right w:val="single" w:sz="8" w:space="0" w:color="E4E5E5"/>
            </w:tcBorders>
          </w:tcPr>
          <w:p>
            <w:r>
              <w:rPr>
                <w:rFonts w:ascii="Roboto" w:hAnsi="Roboto" w:eastAsia="Roboto"/>
                <w:b/>
                <w:color w:val="0F4C5C"/>
                <w:sz w:val="19"/>
              </w:rPr>
              <w:t>Use</w:t>
            </w:r>
          </w:p>
        </w:tc>
      </w:tr>
      <w:tr>
        <w:tc>
          <w:tcPr>
            <w:tcW w:type="dxa" w:w="2016"/>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Deep Petrol</w:t>
            </w:r>
          </w:p>
        </w:tc>
        <w:tc>
          <w:tcPr>
            <w:tcW w:type="dxa" w:w="1584"/>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#0F4C5C</w:t>
            </w:r>
          </w:p>
        </w:tc>
        <w:tc>
          <w:tcPr>
            <w:tcW w:type="dxa" w:w="1440"/>
            <w:tcBorders>
              <w:top w:val="single" w:sz="6" w:space="0" w:color="E4E5E5"/>
              <w:left w:val="single" w:sz="6" w:space="0" w:color="E4E5E5"/>
              <w:bottom w:val="single" w:sz="6" w:space="0" w:color="E4E5E5"/>
              <w:right w:val="single" w:sz="6" w:space="0" w:color="E4E5E5"/>
            </w:tcBorders>
            <w:vAlign w:val="center"/>
            <w:shd w:fill="F9FAFA"/>
            <w:shd w:fill="0F4C5C"/>
          </w:tcPr>
          <w:p>
            <w:pPr>
              <w:spacing w:before="0" w:after="0" w:line="276" w:lineRule="auto"/>
            </w:pPr>
          </w:p>
        </w:tc>
        <w:tc>
          <w:tcPr>
            <w:tcW w:type="dxa" w:w="4752"/>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Brand emphasis, calm selection, headings, links</w:t>
            </w:r>
          </w:p>
        </w:tc>
      </w:tr>
      <w:tr>
        <w:tc>
          <w:tcPr>
            <w:tcW w:type="dxa" w:w="2016"/>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Ink</w:t>
            </w:r>
          </w:p>
        </w:tc>
        <w:tc>
          <w:tcPr>
            <w:tcW w:type="dxa" w:w="1584"/>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#111111</w:t>
            </w:r>
          </w:p>
        </w:tc>
        <w:tc>
          <w:tcPr>
            <w:tcW w:type="dxa" w:w="1440"/>
            <w:tcBorders>
              <w:top w:val="single" w:sz="6" w:space="0" w:color="E4E5E5"/>
              <w:left w:val="single" w:sz="6" w:space="0" w:color="E4E5E5"/>
              <w:bottom w:val="single" w:sz="6" w:space="0" w:color="E4E5E5"/>
              <w:right w:val="single" w:sz="6" w:space="0" w:color="E4E5E5"/>
            </w:tcBorders>
            <w:vAlign w:val="center"/>
            <w:shd w:fill="F9FAFA"/>
            <w:shd w:fill="111111"/>
          </w:tcPr>
          <w:p>
            <w:pPr>
              <w:spacing w:before="0" w:after="0" w:line="276" w:lineRule="auto"/>
            </w:pPr>
          </w:p>
        </w:tc>
        <w:tc>
          <w:tcPr>
            <w:tcW w:type="dxa" w:w="4752"/>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Strongest text, dark surfaces, primary CTAs</w:t>
            </w:r>
          </w:p>
        </w:tc>
      </w:tr>
      <w:tr>
        <w:tc>
          <w:tcPr>
            <w:tcW w:type="dxa" w:w="2016"/>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Paper</w:t>
            </w:r>
          </w:p>
        </w:tc>
        <w:tc>
          <w:tcPr>
            <w:tcW w:type="dxa" w:w="1584"/>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#F9FAFA</w:t>
            </w:r>
          </w:p>
        </w:tc>
        <w:tc>
          <w:tcPr>
            <w:tcW w:type="dxa" w:w="1440"/>
            <w:tcBorders>
              <w:top w:val="single" w:sz="6" w:space="0" w:color="E4E5E5"/>
              <w:left w:val="single" w:sz="6" w:space="0" w:color="E4E5E5"/>
              <w:bottom w:val="single" w:sz="6" w:space="0" w:color="E4E5E5"/>
              <w:right w:val="single" w:sz="6" w:space="0" w:color="E4E5E5"/>
            </w:tcBorders>
            <w:vAlign w:val="center"/>
            <w:shd w:fill="F9FAFA"/>
            <w:shd w:fill="F9FAFA"/>
          </w:tcPr>
          <w:p>
            <w:pPr>
              <w:spacing w:before="0" w:after="0" w:line="276" w:lineRule="auto"/>
            </w:pPr>
          </w:p>
        </w:tc>
        <w:tc>
          <w:tcPr>
            <w:tcW w:type="dxa" w:w="4752"/>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Light surfaces and base page backgrounds</w:t>
            </w:r>
          </w:p>
        </w:tc>
      </w:tr>
      <w:tr>
        <w:tc>
          <w:tcPr>
            <w:tcW w:type="dxa" w:w="2016"/>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Mist</w:t>
            </w:r>
          </w:p>
        </w:tc>
        <w:tc>
          <w:tcPr>
            <w:tcW w:type="dxa" w:w="1584"/>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#E4E5E5</w:t>
            </w:r>
          </w:p>
        </w:tc>
        <w:tc>
          <w:tcPr>
            <w:tcW w:type="dxa" w:w="1440"/>
            <w:tcBorders>
              <w:top w:val="single" w:sz="6" w:space="0" w:color="E4E5E5"/>
              <w:left w:val="single" w:sz="6" w:space="0" w:color="E4E5E5"/>
              <w:bottom w:val="single" w:sz="6" w:space="0" w:color="E4E5E5"/>
              <w:right w:val="single" w:sz="6" w:space="0" w:color="E4E5E5"/>
            </w:tcBorders>
            <w:vAlign w:val="center"/>
            <w:shd w:fill="F9FAFA"/>
            <w:shd w:fill="E4E5E5"/>
          </w:tcPr>
          <w:p>
            <w:pPr>
              <w:spacing w:before="0" w:after="0" w:line="276" w:lineRule="auto"/>
            </w:pPr>
          </w:p>
        </w:tc>
        <w:tc>
          <w:tcPr>
            <w:tcW w:type="dxa" w:w="4752"/>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Borders, dividers, quiet structure</w:t>
            </w:r>
          </w:p>
        </w:tc>
      </w:tr>
      <w:tr>
        <w:tc>
          <w:tcPr>
            <w:tcW w:type="dxa" w:w="2016"/>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Mid Grey</w:t>
            </w:r>
          </w:p>
        </w:tc>
        <w:tc>
          <w:tcPr>
            <w:tcW w:type="dxa" w:w="1584"/>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#979899</w:t>
            </w:r>
          </w:p>
        </w:tc>
        <w:tc>
          <w:tcPr>
            <w:tcW w:type="dxa" w:w="1440"/>
            <w:tcBorders>
              <w:top w:val="single" w:sz="6" w:space="0" w:color="E4E5E5"/>
              <w:left w:val="single" w:sz="6" w:space="0" w:color="E4E5E5"/>
              <w:bottom w:val="single" w:sz="6" w:space="0" w:color="E4E5E5"/>
              <w:right w:val="single" w:sz="6" w:space="0" w:color="E4E5E5"/>
            </w:tcBorders>
            <w:vAlign w:val="center"/>
            <w:shd w:fill="F9FAFA"/>
            <w:shd w:fill="979899"/>
          </w:tcPr>
          <w:p>
            <w:pPr>
              <w:spacing w:before="0" w:after="0" w:line="276" w:lineRule="auto"/>
            </w:pPr>
          </w:p>
        </w:tc>
        <w:tc>
          <w:tcPr>
            <w:tcW w:type="dxa" w:w="4752"/>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Secondary text, helper lines, muted metadata</w:t>
            </w:r>
          </w:p>
        </w:tc>
      </w:tr>
      <w:tr>
        <w:tc>
          <w:tcPr>
            <w:tcW w:type="dxa" w:w="2016"/>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Signal Orange</w:t>
            </w:r>
          </w:p>
        </w:tc>
        <w:tc>
          <w:tcPr>
            <w:tcW w:type="dxa" w:w="1584"/>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#FF8210</w:t>
            </w:r>
          </w:p>
        </w:tc>
        <w:tc>
          <w:tcPr>
            <w:tcW w:type="dxa" w:w="1440"/>
            <w:tcBorders>
              <w:top w:val="single" w:sz="6" w:space="0" w:color="E4E5E5"/>
              <w:left w:val="single" w:sz="6" w:space="0" w:color="E4E5E5"/>
              <w:bottom w:val="single" w:sz="6" w:space="0" w:color="E4E5E5"/>
              <w:right w:val="single" w:sz="6" w:space="0" w:color="E4E5E5"/>
            </w:tcBorders>
            <w:vAlign w:val="center"/>
            <w:shd w:fill="F9FAFA"/>
            <w:shd w:fill="FF8210"/>
          </w:tcPr>
          <w:p>
            <w:pPr>
              <w:spacing w:before="0" w:after="0" w:line="276" w:lineRule="auto"/>
            </w:pPr>
          </w:p>
        </w:tc>
        <w:tc>
          <w:tcPr>
            <w:tcW w:type="dxa" w:w="4752"/>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Controlled highlight only</w:t>
            </w:r>
          </w:p>
        </w:tc>
      </w:tr>
      <w:tr>
        <w:tc>
          <w:tcPr>
            <w:tcW w:type="dxa" w:w="2016"/>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Pale Blue</w:t>
            </w:r>
          </w:p>
        </w:tc>
        <w:tc>
          <w:tcPr>
            <w:tcW w:type="dxa" w:w="1584"/>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#BFD1D6</w:t>
            </w:r>
          </w:p>
        </w:tc>
        <w:tc>
          <w:tcPr>
            <w:tcW w:type="dxa" w:w="1440"/>
            <w:tcBorders>
              <w:top w:val="single" w:sz="6" w:space="0" w:color="E4E5E5"/>
              <w:left w:val="single" w:sz="6" w:space="0" w:color="E4E5E5"/>
              <w:bottom w:val="single" w:sz="6" w:space="0" w:color="E4E5E5"/>
              <w:right w:val="single" w:sz="6" w:space="0" w:color="E4E5E5"/>
            </w:tcBorders>
            <w:vAlign w:val="center"/>
            <w:shd w:fill="F9FAFA"/>
            <w:shd w:fill="BFD1D6"/>
          </w:tcPr>
          <w:p>
            <w:pPr>
              <w:spacing w:before="0" w:after="0" w:line="276" w:lineRule="auto"/>
            </w:pPr>
          </w:p>
        </w:tc>
        <w:tc>
          <w:tcPr>
            <w:tcW w:type="dxa" w:w="4752"/>
            <w:tcBorders>
              <w:top w:val="single" w:sz="6" w:space="0" w:color="E4E5E5"/>
              <w:left w:val="single" w:sz="6" w:space="0" w:color="E4E5E5"/>
              <w:bottom w:val="single" w:sz="6" w:space="0" w:color="E4E5E5"/>
              <w:right w:val="single" w:sz="6" w:space="0" w:color="E4E5E5"/>
            </w:tcBorders>
            <w:vAlign w:val="center"/>
            <w:shd w:fill="F9FAFA"/>
          </w:tcPr>
          <w:p>
            <w:pPr>
              <w:spacing w:before="0" w:after="0" w:line="276" w:lineRule="auto"/>
            </w:pPr>
            <w:r>
              <w:rPr>
                <w:rFonts w:ascii="Roboto" w:hAnsi="Roboto" w:eastAsia="Roboto"/>
                <w:b w:val="0"/>
                <w:color w:val="111111"/>
                <w:sz w:val="18"/>
              </w:rPr>
              <w:t>Soft support fill, calm notices, selected support</w:t>
            </w:r>
          </w:p>
        </w:tc>
      </w:tr>
    </w:tbl>
    <w:p/>
    <w:p>
      <w:pPr>
        <w:pStyle w:val="ListBullet"/>
        <w:spacing w:before="0" w:after="40" w:line="276" w:lineRule="auto"/>
      </w:pPr>
      <w:r>
        <w:rPr>
          <w:rFonts w:ascii="Roboto" w:hAnsi="Roboto" w:eastAsia="Roboto"/>
          <w:b w:val="0"/>
          <w:color w:val="111111"/>
          <w:sz w:val="20"/>
        </w:rPr>
        <w:t>Never use true black or true white. Replace them with #111111 and #F9FAFA.</w:t>
      </w:r>
    </w:p>
    <w:p>
      <w:pPr>
        <w:pStyle w:val="ListBullet"/>
        <w:spacing w:before="0" w:after="40" w:line="276" w:lineRule="auto"/>
      </w:pPr>
      <w:r>
        <w:rPr>
          <w:rFonts w:ascii="Roboto" w:hAnsi="Roboto" w:eastAsia="Roboto"/>
          <w:b w:val="0"/>
          <w:color w:val="111111"/>
          <w:sz w:val="20"/>
        </w:rPr>
        <w:t>Do not introduce green status badges, success chips or Pro treatments.</w:t>
      </w:r>
    </w:p>
    <w:p>
      <w:pPr>
        <w:pStyle w:val="ListBullet"/>
        <w:spacing w:before="0" w:after="40" w:line="276" w:lineRule="auto"/>
      </w:pPr>
      <w:r>
        <w:rPr>
          <w:rFonts w:ascii="Roboto" w:hAnsi="Roboto" w:eastAsia="Roboto"/>
          <w:b w:val="0"/>
          <w:color w:val="111111"/>
          <w:sz w:val="20"/>
        </w:rPr>
        <w:t>Use #FF8210 sparingly. Prefer #BFD1D6 when a softer support tone is sufficient.</w:t>
      </w:r>
    </w:p>
    <w:p>
      <w:pPr>
        <w:spacing w:before="0" w:after="40" w:line="276" w:lineRule="auto"/>
      </w:pPr>
      <w:r>
        <w:rPr>
          <w:rFonts w:ascii="Roboto" w:hAnsi="Roboto" w:eastAsia="Roboto"/>
          <w:b/>
          <w:caps/>
          <w:color w:val="0F4C5C"/>
          <w:sz w:val="17"/>
        </w:rPr>
        <w:t>03</w:t>
      </w:r>
    </w:p>
    <w:p>
      <w:pPr>
        <w:pStyle w:val="Heading1"/>
        <w:spacing w:before="0" w:after="120" w:line="276" w:lineRule="auto"/>
      </w:pPr>
      <w:r>
        <w:rPr>
          <w:rFonts w:ascii="Aptos" w:hAnsi="Aptos" w:eastAsia="Aptos"/>
          <w:b/>
          <w:color w:val="111111"/>
          <w:sz w:val="32"/>
        </w:rPr>
        <w:t>Typography, spacing and shape tokens</w:t>
      </w:r>
    </w:p>
    <w:tbl>
      <w:tblPr>
        <w:tblW w:type="auto" w:w="0"/>
        <w:jc w:val="center"/>
        <w:tblLayout w:type="fixed"/>
        <w:tblLook w:firstColumn="1" w:firstRow="1" w:lastColumn="0" w:lastRow="0" w:noHBand="0" w:noVBand="1" w:val="04A0"/>
      </w:tblPr>
      <w:tblGrid>
        <w:gridCol w:w="4608"/>
        <w:gridCol w:w="4608"/>
      </w:tblGrid>
      <w:tr>
        <w:tc>
          <w:tcPr>
            <w:tcW w:type="dxa" w:w="4968"/>
            <w:shd w:fill="F9FAFA"/>
            <w:tcBorders>
              <w:top w:val="single" w:sz="8" w:space="0" w:color="E4E5E5"/>
              <w:left w:val="single" w:sz="8" w:space="0" w:color="E4E5E5"/>
              <w:bottom w:val="single" w:sz="8" w:space="0" w:color="E4E5E5"/>
              <w:right w:val="single" w:sz="8" w:space="0" w:color="E4E5E5"/>
            </w:tcBorders>
          </w:tcPr>
          <w:p>
            <w:pPr>
              <w:spacing w:before="0" w:after="80" w:line="276" w:lineRule="auto"/>
            </w:pPr>
            <w:r>
              <w:rPr>
                <w:rFonts w:ascii="Aptos" w:hAnsi="Aptos" w:eastAsia="Aptos"/>
                <w:b/>
                <w:color w:val="0F4C5C"/>
                <w:sz w:val="21"/>
              </w:rPr>
              <w:t>Typography ladder</w:t>
            </w:r>
          </w:p>
          <w:p>
            <w:pPr>
              <w:pStyle w:val="ListBullet"/>
              <w:spacing w:before="0" w:after="20" w:line="276" w:lineRule="auto"/>
            </w:pPr>
            <w:r>
              <w:rPr>
                <w:rFonts w:ascii="Roboto" w:hAnsi="Roboto" w:eastAsia="Roboto"/>
                <w:b w:val="0"/>
                <w:color w:val="111111"/>
                <w:sz w:val="18"/>
              </w:rPr>
              <w:t>Display — Aptos SemiBold, 26–30 pt</w:t>
            </w:r>
          </w:p>
          <w:p>
            <w:pPr>
              <w:pStyle w:val="ListBullet"/>
              <w:spacing w:before="0" w:after="20" w:line="276" w:lineRule="auto"/>
            </w:pPr>
            <w:r>
              <w:rPr>
                <w:rFonts w:ascii="Roboto" w:hAnsi="Roboto" w:eastAsia="Roboto"/>
                <w:b w:val="0"/>
                <w:color w:val="111111"/>
                <w:sz w:val="18"/>
              </w:rPr>
              <w:t>Heading — Aptos Bold, 15–17 pt</w:t>
            </w:r>
          </w:p>
          <w:p>
            <w:pPr>
              <w:pStyle w:val="ListBullet"/>
              <w:spacing w:before="0" w:after="20" w:line="276" w:lineRule="auto"/>
            </w:pPr>
            <w:r>
              <w:rPr>
                <w:rFonts w:ascii="Roboto" w:hAnsi="Roboto" w:eastAsia="Roboto"/>
                <w:b w:val="0"/>
                <w:color w:val="111111"/>
                <w:sz w:val="18"/>
              </w:rPr>
              <w:t>Subheading — Roboto Medium, 11.5–12 pt</w:t>
            </w:r>
          </w:p>
          <w:p>
            <w:pPr>
              <w:pStyle w:val="ListBullet"/>
              <w:spacing w:before="0" w:after="20" w:line="276" w:lineRule="auto"/>
            </w:pPr>
            <w:r>
              <w:rPr>
                <w:rFonts w:ascii="Roboto" w:hAnsi="Roboto" w:eastAsia="Roboto"/>
                <w:b w:val="0"/>
                <w:color w:val="111111"/>
                <w:sz w:val="18"/>
              </w:rPr>
              <w:t>Body — Roboto Regular, 10–10.5 pt</w:t>
            </w:r>
          </w:p>
          <w:p>
            <w:pPr>
              <w:pStyle w:val="ListBullet"/>
              <w:spacing w:before="0" w:after="20" w:line="276" w:lineRule="auto"/>
            </w:pPr>
            <w:r>
              <w:rPr>
                <w:rFonts w:ascii="Roboto" w:hAnsi="Roboto" w:eastAsia="Roboto"/>
                <w:b w:val="0"/>
                <w:color w:val="111111"/>
                <w:sz w:val="18"/>
              </w:rPr>
              <w:t>Caption/meta — Roboto Regular, 8.5–9 pt</w:t>
            </w:r>
          </w:p>
          <w:p>
            <w:pPr>
              <w:pStyle w:val="ListBullet"/>
              <w:spacing w:before="0" w:after="20" w:line="276" w:lineRule="auto"/>
            </w:pPr>
            <w:r>
              <w:rPr>
                <w:rFonts w:ascii="Roboto" w:hAnsi="Roboto" w:eastAsia="Roboto"/>
                <w:b w:val="0"/>
                <w:color w:val="111111"/>
                <w:sz w:val="18"/>
              </w:rPr>
              <w:t>Numeric emphasis — Roboto Medium, 11–13 pt</w:t>
            </w:r>
          </w:p>
        </w:tc>
        <w:tc>
          <w:tcPr>
            <w:tcW w:type="dxa" w:w="4968"/>
            <w:shd w:fill="F9FAFA"/>
            <w:tcBorders>
              <w:top w:val="single" w:sz="8" w:space="0" w:color="E4E5E5"/>
              <w:left w:val="single" w:sz="8" w:space="0" w:color="E4E5E5"/>
              <w:bottom w:val="single" w:sz="8" w:space="0" w:color="E4E5E5"/>
              <w:right w:val="single" w:sz="8" w:space="0" w:color="E4E5E5"/>
            </w:tcBorders>
          </w:tcPr>
          <w:p>
            <w:pPr>
              <w:spacing w:before="0" w:after="80" w:line="276" w:lineRule="auto"/>
            </w:pPr>
            <w:r>
              <w:rPr>
                <w:rFonts w:ascii="Aptos" w:hAnsi="Aptos" w:eastAsia="Aptos"/>
                <w:b/>
                <w:color w:val="0F4C5C"/>
                <w:sz w:val="21"/>
              </w:rPr>
              <w:t>Spatial system</w:t>
            </w:r>
          </w:p>
          <w:p>
            <w:pPr>
              <w:pStyle w:val="ListBullet"/>
              <w:spacing w:before="0" w:after="20" w:line="276" w:lineRule="auto"/>
            </w:pPr>
            <w:r>
              <w:rPr>
                <w:rFonts w:ascii="Roboto" w:hAnsi="Roboto" w:eastAsia="Roboto"/>
                <w:b w:val="0"/>
                <w:color w:val="111111"/>
                <w:sz w:val="18"/>
              </w:rPr>
              <w:t>Base scale — 4, 8, 12, 16, 24, 32, 40, 48, 64</w:t>
            </w:r>
          </w:p>
          <w:p>
            <w:pPr>
              <w:pStyle w:val="ListBullet"/>
              <w:spacing w:before="0" w:after="20" w:line="276" w:lineRule="auto"/>
            </w:pPr>
            <w:r>
              <w:rPr>
                <w:rFonts w:ascii="Roboto" w:hAnsi="Roboto" w:eastAsia="Roboto"/>
                <w:b w:val="0"/>
                <w:color w:val="111111"/>
                <w:sz w:val="18"/>
              </w:rPr>
              <w:t>Everyday internal spacing — 16</w:t>
            </w:r>
          </w:p>
          <w:p>
            <w:pPr>
              <w:pStyle w:val="ListBullet"/>
              <w:spacing w:before="0" w:after="20" w:line="276" w:lineRule="auto"/>
            </w:pPr>
            <w:r>
              <w:rPr>
                <w:rFonts w:ascii="Roboto" w:hAnsi="Roboto" w:eastAsia="Roboto"/>
                <w:b w:val="0"/>
                <w:color w:val="111111"/>
                <w:sz w:val="18"/>
              </w:rPr>
              <w:t>Panel padding — 24–32</w:t>
            </w:r>
          </w:p>
          <w:p>
            <w:pPr>
              <w:pStyle w:val="ListBullet"/>
              <w:spacing w:before="0" w:after="20" w:line="276" w:lineRule="auto"/>
            </w:pPr>
            <w:r>
              <w:rPr>
                <w:rFonts w:ascii="Roboto" w:hAnsi="Roboto" w:eastAsia="Roboto"/>
                <w:b w:val="0"/>
                <w:color w:val="111111"/>
                <w:sz w:val="18"/>
              </w:rPr>
              <w:t>Major section gaps — 32–48</w:t>
            </w:r>
          </w:p>
          <w:p>
            <w:pPr>
              <w:pStyle w:val="ListBullet"/>
              <w:spacing w:before="0" w:after="20" w:line="276" w:lineRule="auto"/>
            </w:pPr>
            <w:r>
              <w:rPr>
                <w:rFonts w:ascii="Roboto" w:hAnsi="Roboto" w:eastAsia="Roboto"/>
                <w:b w:val="0"/>
                <w:color w:val="111111"/>
                <w:sz w:val="18"/>
              </w:rPr>
              <w:t>Large-page breathing space — 40–64</w:t>
            </w:r>
          </w:p>
          <w:p>
            <w:pPr>
              <w:pStyle w:val="ListBullet"/>
              <w:spacing w:before="0" w:after="20" w:line="276" w:lineRule="auto"/>
            </w:pPr>
            <w:r>
              <w:rPr>
                <w:rFonts w:ascii="Roboto" w:hAnsi="Roboto" w:eastAsia="Roboto"/>
                <w:b w:val="0"/>
                <w:color w:val="111111"/>
                <w:sz w:val="18"/>
              </w:rPr>
              <w:t>Label to control — 8–12</w:t>
            </w:r>
          </w:p>
        </w:tc>
      </w:tr>
    </w:tbl>
    <w:p/>
    <w:tbl>
      <w:tblPr>
        <w:tblW w:type="auto" w:w="0"/>
        <w:jc w:val="center"/>
        <w:tblLayout w:type="fixed"/>
        <w:tblLook w:firstColumn="1" w:firstRow="1" w:lastColumn="0" w:lastRow="0" w:noHBand="0" w:noVBand="1" w:val="04A0"/>
      </w:tblPr>
      <w:tblGrid>
        <w:gridCol w:w="3024"/>
        <w:gridCol w:w="3024"/>
        <w:gridCol w:w="3168"/>
      </w:tblGrid>
      <w:tr>
        <w:tc>
          <w:tcPr>
            <w:tcW w:type="dxa" w:w="3312"/>
            <w:shd w:fill="F9FAFA"/>
            <w:tcBorders>
              <w:top w:val="single" w:sz="8" w:space="0" w:color="E4E5E5"/>
              <w:left w:val="single" w:sz="8" w:space="0" w:color="E4E5E5"/>
              <w:bottom w:val="single" w:sz="8" w:space="0" w:color="E4E5E5"/>
              <w:right w:val="single" w:sz="8" w:space="0" w:color="E4E5E5"/>
            </w:tcBorders>
          </w:tcPr>
          <w:p>
            <w:r>
              <w:rPr>
                <w:rFonts w:ascii="Aptos" w:hAnsi="Aptos" w:eastAsia="Aptos"/>
                <w:b/>
                <w:color w:val="0F4C5C"/>
                <w:sz w:val="20"/>
              </w:rPr>
              <w:t>Corners</w:t>
            </w:r>
          </w:p>
          <w:p>
            <w:r>
              <w:rPr>
                <w:rFonts w:ascii="Roboto" w:hAnsi="Roboto" w:eastAsia="Roboto"/>
                <w:b w:val="0"/>
                <w:color w:val="111111"/>
                <w:sz w:val="18"/>
              </w:rPr>
              <w:t>10 px small controls · 12 px buttons/inputs · 16 px cards/dropdowns · 20 px feature panels</w:t>
            </w:r>
          </w:p>
        </w:tc>
        <w:tc>
          <w:tcPr>
            <w:tcW w:type="dxa" w:w="3312"/>
            <w:shd w:fill="F9FAFA"/>
            <w:tcBorders>
              <w:top w:val="single" w:sz="8" w:space="0" w:color="E4E5E5"/>
              <w:left w:val="single" w:sz="8" w:space="0" w:color="E4E5E5"/>
              <w:bottom w:val="single" w:sz="8" w:space="0" w:color="E4E5E5"/>
              <w:right w:val="single" w:sz="8" w:space="0" w:color="E4E5E5"/>
            </w:tcBorders>
          </w:tcPr>
          <w:p>
            <w:r>
              <w:rPr>
                <w:rFonts w:ascii="Aptos" w:hAnsi="Aptos" w:eastAsia="Aptos"/>
                <w:b/>
                <w:color w:val="0F4C5C"/>
                <w:sz w:val="20"/>
              </w:rPr>
              <w:t>Borders &amp; surfaces</w:t>
            </w:r>
          </w:p>
          <w:p>
            <w:r>
              <w:rPr>
                <w:rFonts w:ascii="Roboto" w:hAnsi="Roboto" w:eastAsia="Roboto"/>
                <w:b w:val="0"/>
                <w:color w:val="111111"/>
                <w:sz w:val="18"/>
              </w:rPr>
              <w:t>Mist borders, Paper panels, Ink high-emphasis blocks, almost no shadow</w:t>
            </w:r>
          </w:p>
        </w:tc>
        <w:tc>
          <w:tcPr>
            <w:tcW w:type="dxa" w:w="3312"/>
            <w:shd w:fill="F9FAFA"/>
            <w:tcBorders>
              <w:top w:val="single" w:sz="8" w:space="0" w:color="E4E5E5"/>
              <w:left w:val="single" w:sz="8" w:space="0" w:color="E4E5E5"/>
              <w:bottom w:val="single" w:sz="8" w:space="0" w:color="E4E5E5"/>
              <w:right w:val="single" w:sz="8" w:space="0" w:color="E4E5E5"/>
            </w:tcBorders>
          </w:tcPr>
          <w:p>
            <w:r>
              <w:rPr>
                <w:rFonts w:ascii="Aptos" w:hAnsi="Aptos" w:eastAsia="Aptos"/>
                <w:b/>
                <w:color w:val="0F4C5C"/>
                <w:sz w:val="20"/>
              </w:rPr>
              <w:t>Motion</w:t>
            </w:r>
          </w:p>
          <w:p>
            <w:r>
              <w:rPr>
                <w:rFonts w:ascii="Roboto" w:hAnsi="Roboto" w:eastAsia="Roboto"/>
                <w:b w:val="0"/>
                <w:color w:val="111111"/>
                <w:sz w:val="18"/>
              </w:rPr>
              <w:t>Hover 120–180 ms · menu/content transitions 160–220 ms · restrained easing only</w:t>
            </w:r>
          </w:p>
        </w:tc>
      </w:tr>
    </w:tbl>
    <w:p>
      <w:r>
        <w:br w:type="page"/>
      </w:r>
    </w:p>
    <w:p>
      <w:pPr>
        <w:spacing w:before="0" w:after="40" w:line="276" w:lineRule="auto"/>
      </w:pPr>
      <w:r>
        <w:rPr>
          <w:rFonts w:ascii="Roboto" w:hAnsi="Roboto" w:eastAsia="Roboto"/>
          <w:b/>
          <w:caps/>
          <w:color w:val="0F4C5C"/>
          <w:sz w:val="17"/>
        </w:rPr>
        <w:t>04</w:t>
      </w:r>
    </w:p>
    <w:p>
      <w:pPr>
        <w:pStyle w:val="Heading1"/>
        <w:spacing w:before="0" w:after="120" w:line="276" w:lineRule="auto"/>
      </w:pPr>
      <w:r>
        <w:rPr>
          <w:rFonts w:ascii="Aptos" w:hAnsi="Aptos" w:eastAsia="Aptos"/>
          <w:b/>
          <w:color w:val="111111"/>
          <w:sz w:val="32"/>
        </w:rPr>
        <w:t>Component rules</w:t>
      </w:r>
    </w:p>
    <w:p>
      <w:pPr>
        <w:spacing w:before="0" w:after="60" w:line="276" w:lineRule="auto"/>
      </w:pPr>
      <w:r>
        <w:rPr>
          <w:rFonts w:ascii="Roboto" w:hAnsi="Roboto" w:eastAsia="Roboto"/>
          <w:b/>
          <w:caps/>
          <w:color w:val="979899"/>
          <w:sz w:val="17"/>
        </w:rPr>
        <w:t>BUTTONS</w:t>
      </w:r>
    </w:p>
    <w:p>
      <w:pPr>
        <w:spacing w:before="0" w:after="80" w:line="276" w:lineRule="auto"/>
      </w:pPr>
      <w:r>
        <w:rPr>
          <w:rFonts w:ascii="Roboto" w:hAnsi="Roboto" w:eastAsia="Roboto"/>
          <w:b w:val="0"/>
          <w:color w:val="111111"/>
          <w:sz w:val="21"/>
        </w:rPr>
        <w:t>Primary uses Ink fill with Paper text. Secondary uses Paper surface with Mist border. Keep consistent height, centered text, and medium 12 px radius.</w:t>
      </w:r>
    </w:p>
    <w:p>
      <w:pPr>
        <w:spacing w:before="0" w:after="60" w:line="276" w:lineRule="auto"/>
      </w:pPr>
      <w:r>
        <w:rPr>
          <w:rFonts w:ascii="Roboto" w:hAnsi="Roboto" w:eastAsia="Roboto"/>
          <w:b/>
          <w:caps/>
          <w:color w:val="979899"/>
          <w:sz w:val="17"/>
        </w:rPr>
        <w:t>INPUTS &amp; DROPDOWNS</w:t>
      </w:r>
    </w:p>
    <w:p>
      <w:pPr>
        <w:spacing w:before="0" w:after="80" w:line="276" w:lineRule="auto"/>
      </w:pPr>
      <w:r>
        <w:rPr>
          <w:rFonts w:ascii="Roboto" w:hAnsi="Roboto" w:eastAsia="Roboto"/>
          <w:b w:val="0"/>
          <w:color w:val="111111"/>
          <w:sz w:val="21"/>
        </w:rPr>
        <w:t>Paper surface, Mist border, Ink text, Mid Grey placeholder, 12 px radius. Focus state resolves to restrained Petrol or Pale Blue emphasis.</w:t>
      </w:r>
    </w:p>
    <w:p>
      <w:pPr>
        <w:spacing w:before="0" w:after="60" w:line="276" w:lineRule="auto"/>
      </w:pPr>
      <w:r>
        <w:rPr>
          <w:rFonts w:ascii="Roboto" w:hAnsi="Roboto" w:eastAsia="Roboto"/>
          <w:b/>
          <w:caps/>
          <w:color w:val="979899"/>
          <w:sz w:val="17"/>
        </w:rPr>
        <w:t>SEGMENTED CONTROLS</w:t>
      </w:r>
    </w:p>
    <w:p>
      <w:pPr>
        <w:spacing w:before="0" w:after="80" w:line="276" w:lineRule="auto"/>
      </w:pPr>
      <w:r>
        <w:rPr>
          <w:rFonts w:ascii="Roboto" w:hAnsi="Roboto" w:eastAsia="Roboto"/>
          <w:b w:val="0"/>
          <w:color w:val="111111"/>
          <w:sz w:val="21"/>
        </w:rPr>
        <w:t>Used for project type, quality, site access and complexity. Unselected states stay light; selected states typically switch to Ink fill with Paper text.</w:t>
      </w:r>
    </w:p>
    <w:p>
      <w:pPr>
        <w:spacing w:before="0" w:after="60" w:line="276" w:lineRule="auto"/>
      </w:pPr>
      <w:r>
        <w:rPr>
          <w:rFonts w:ascii="Roboto" w:hAnsi="Roboto" w:eastAsia="Roboto"/>
          <w:b/>
          <w:caps/>
          <w:color w:val="979899"/>
          <w:sz w:val="17"/>
        </w:rPr>
        <w:t>CARDS &amp; PANELS</w:t>
      </w:r>
    </w:p>
    <w:p>
      <w:pPr>
        <w:spacing w:before="0" w:after="80" w:line="276" w:lineRule="auto"/>
      </w:pPr>
      <w:r>
        <w:rPr>
          <w:rFonts w:ascii="Roboto" w:hAnsi="Roboto" w:eastAsia="Roboto"/>
          <w:b w:val="0"/>
          <w:color w:val="111111"/>
          <w:sz w:val="21"/>
        </w:rPr>
        <w:t>Paper surface, 16 px radius, Mist border, 24–32 px internal padding. Use spacing and alignment for hierarchy before adding decoration.</w:t>
      </w:r>
    </w:p>
    <w:p>
      <w:pPr>
        <w:spacing w:before="0" w:after="60" w:line="276" w:lineRule="auto"/>
      </w:pPr>
      <w:r>
        <w:rPr>
          <w:rFonts w:ascii="Roboto" w:hAnsi="Roboto" w:eastAsia="Roboto"/>
          <w:b/>
          <w:caps/>
          <w:color w:val="979899"/>
          <w:sz w:val="17"/>
        </w:rPr>
        <w:t>NAVIGATION SHELL</w:t>
      </w:r>
    </w:p>
    <w:p>
      <w:pPr>
        <w:spacing w:before="0" w:after="80" w:line="276" w:lineRule="auto"/>
      </w:pPr>
      <w:r>
        <w:rPr>
          <w:rFonts w:ascii="Roboto" w:hAnsi="Roboto" w:eastAsia="Roboto"/>
          <w:b w:val="0"/>
          <w:color w:val="111111"/>
          <w:sz w:val="21"/>
        </w:rPr>
        <w:t>Light, stable bar with subtle separation. Dropdowns need 16 px radius, cleaner spacing, and clearer selected-state treatment.</w:t>
      </w:r>
    </w:p>
    <w:p>
      <w:pPr>
        <w:spacing w:before="0" w:after="60" w:line="276" w:lineRule="auto"/>
      </w:pPr>
      <w:r>
        <w:rPr>
          <w:rFonts w:ascii="Roboto" w:hAnsi="Roboto" w:eastAsia="Roboto"/>
          <w:b/>
          <w:caps/>
          <w:color w:val="979899"/>
          <w:sz w:val="17"/>
        </w:rPr>
        <w:t>DATA BLOCKS</w:t>
      </w:r>
    </w:p>
    <w:p>
      <w:pPr>
        <w:spacing w:before="0" w:after="80" w:line="276" w:lineRule="auto"/>
      </w:pPr>
      <w:r>
        <w:rPr>
          <w:rFonts w:ascii="Roboto" w:hAnsi="Roboto" w:eastAsia="Roboto"/>
          <w:b w:val="0"/>
          <w:color w:val="111111"/>
          <w:sz w:val="21"/>
        </w:rPr>
        <w:t>Totals carry highest emphasis; secondary summaries remain crisp but quieter. Numeric columns align consistently across breakdowns and financial summaries.</w:t>
      </w:r>
    </w:p>
    <w:p>
      <w:pPr>
        <w:spacing w:before="0" w:after="60" w:line="276" w:lineRule="auto"/>
      </w:pPr>
      <w:r>
        <w:rPr>
          <w:rFonts w:ascii="Roboto" w:hAnsi="Roboto" w:eastAsia="Roboto"/>
          <w:b/>
          <w:caps/>
          <w:color w:val="979899"/>
          <w:sz w:val="17"/>
        </w:rPr>
        <w:t>NOTICES &amp; BADGES</w:t>
      </w:r>
    </w:p>
    <w:p>
      <w:pPr>
        <w:spacing w:before="0" w:after="80" w:line="276" w:lineRule="auto"/>
      </w:pPr>
      <w:r>
        <w:rPr>
          <w:rFonts w:ascii="Roboto" w:hAnsi="Roboto" w:eastAsia="Roboto"/>
          <w:b w:val="0"/>
          <w:color w:val="111111"/>
          <w:sz w:val="21"/>
        </w:rPr>
        <w:t>Use Petrol, Pale Blue, Ink, Mist and Paper only. Orange is reserved for controlled emphasis. No green status language.</w:t>
      </w:r>
    </w:p>
    <w:p>
      <w:pPr>
        <w:spacing w:before="0" w:after="60" w:line="276" w:lineRule="auto"/>
      </w:pPr>
      <w:r>
        <w:rPr>
          <w:rFonts w:ascii="Roboto" w:hAnsi="Roboto" w:eastAsia="Roboto"/>
          <w:b/>
          <w:caps/>
          <w:color w:val="979899"/>
          <w:sz w:val="17"/>
        </w:rPr>
        <w:t>EMPTY STATES</w:t>
      </w:r>
    </w:p>
    <w:p>
      <w:pPr>
        <w:spacing w:before="0" w:after="80" w:line="276" w:lineRule="auto"/>
      </w:pPr>
      <w:r>
        <w:rPr>
          <w:rFonts w:ascii="Roboto" w:hAnsi="Roboto" w:eastAsia="Roboto"/>
          <w:b w:val="0"/>
          <w:color w:val="111111"/>
          <w:sz w:val="21"/>
        </w:rPr>
        <w:t>One concise title, one explanation line, one clear CTA. Must feel designed, not default.</w:t>
      </w:r>
    </w:p>
    <w:p>
      <w:pPr>
        <w:spacing w:before="0" w:after="40" w:line="276" w:lineRule="auto"/>
      </w:pPr>
      <w:r>
        <w:rPr>
          <w:rFonts w:ascii="Roboto" w:hAnsi="Roboto" w:eastAsia="Roboto"/>
          <w:b/>
          <w:caps/>
          <w:color w:val="0F4C5C"/>
          <w:sz w:val="17"/>
        </w:rPr>
        <w:t>05</w:t>
      </w:r>
    </w:p>
    <w:p>
      <w:pPr>
        <w:pStyle w:val="Heading1"/>
        <w:spacing w:before="0" w:after="120" w:line="276" w:lineRule="auto"/>
      </w:pPr>
      <w:r>
        <w:rPr>
          <w:rFonts w:ascii="Aptos" w:hAnsi="Aptos" w:eastAsia="Aptos"/>
          <w:b/>
          <w:color w:val="111111"/>
          <w:sz w:val="32"/>
        </w:rPr>
        <w:t>Screen-by-screen design specs</w:t>
      </w:r>
    </w:p>
    <w:p>
      <w:pPr>
        <w:spacing w:before="0" w:after="240" w:line="276" w:lineRule="auto"/>
      </w:pPr>
      <w:r>
        <w:rPr>
          <w:rFonts w:ascii="Roboto" w:hAnsi="Roboto" w:eastAsia="Roboto"/>
          <w:b w:val="0"/>
          <w:color w:val="979899"/>
          <w:sz w:val="21"/>
        </w:rPr>
        <w:t>Apply the same system across all screens so AprIQ feels like one connected product. Keep product logic unchanged; redesign through hierarchy, spacing, alignment, typography and controlled colour use.</w:t>
      </w:r>
    </w:p>
    <w:p>
      <w:pPr>
        <w:spacing w:before="0" w:after="60" w:line="276" w:lineRule="auto"/>
      </w:pPr>
      <w:r>
        <w:rPr>
          <w:rFonts w:ascii="Roboto" w:hAnsi="Roboto" w:eastAsia="Roboto"/>
          <w:b/>
          <w:caps/>
          <w:color w:val="979899"/>
          <w:sz w:val="17"/>
        </w:rPr>
        <w:t>WAITING LIST</w:t>
      </w:r>
    </w:p>
    <w:p>
      <w:pPr>
        <w:spacing w:before="0" w:after="80" w:line="276" w:lineRule="auto"/>
      </w:pPr>
      <w:r>
        <w:rPr>
          <w:rFonts w:ascii="Roboto" w:hAnsi="Roboto" w:eastAsia="Roboto"/>
          <w:b w:val="0"/>
          <w:color w:val="111111"/>
          <w:sz w:val="21"/>
        </w:rPr>
        <w:t>Highest-priority first impression. Keep the hero light and centered, but tighten the hierarchy between logo, launching pill, display headline, supporting copy, email field and CTA. Feature pills should feel aligned and intentionally spaced, not decorative.</w:t>
      </w:r>
    </w:p>
    <w:p>
      <w:pPr>
        <w:spacing w:before="0" w:after="60" w:line="276" w:lineRule="auto"/>
      </w:pPr>
      <w:r>
        <w:rPr>
          <w:rFonts w:ascii="Roboto" w:hAnsi="Roboto" w:eastAsia="Roboto"/>
          <w:b/>
          <w:caps/>
          <w:color w:val="979899"/>
          <w:sz w:val="17"/>
        </w:rPr>
        <w:t>SIGNUP / LOGIN</w:t>
      </w:r>
    </w:p>
    <w:p>
      <w:pPr>
        <w:spacing w:before="0" w:after="80" w:line="276" w:lineRule="auto"/>
      </w:pPr>
      <w:r>
        <w:rPr>
          <w:rFonts w:ascii="Roboto" w:hAnsi="Roboto" w:eastAsia="Roboto"/>
          <w:b w:val="0"/>
          <w:color w:val="111111"/>
          <w:sz w:val="21"/>
        </w:rPr>
        <w:t>Remove default-template feel through stronger vertical rhythm, calmer field spacing, cleaner subtext, and more deliberate button prominence. The card should feel premium and exact, not oversized or anonymous.</w:t>
      </w:r>
    </w:p>
    <w:p>
      <w:pPr>
        <w:spacing w:before="0" w:after="60" w:line="276" w:lineRule="auto"/>
      </w:pPr>
      <w:r>
        <w:rPr>
          <w:rFonts w:ascii="Roboto" w:hAnsi="Roboto" w:eastAsia="Roboto"/>
          <w:b/>
          <w:caps/>
          <w:color w:val="979899"/>
          <w:sz w:val="17"/>
        </w:rPr>
        <w:t>CONFIGURATOR</w:t>
      </w:r>
    </w:p>
    <w:p>
      <w:pPr>
        <w:spacing w:before="0" w:after="80" w:line="276" w:lineRule="auto"/>
      </w:pPr>
      <w:r>
        <w:rPr>
          <w:rFonts w:ascii="Roboto" w:hAnsi="Roboto" w:eastAsia="Roboto"/>
          <w:b w:val="0"/>
          <w:color w:val="111111"/>
          <w:sz w:val="21"/>
        </w:rPr>
        <w:t>Flagship screen. Strengthen left–right balance, group controls more clearly, improve section rhythm, and make the totals panel feel more authoritative. Inputs, segmented controls, and summaries must all read as one system.</w:t>
      </w:r>
    </w:p>
    <w:p>
      <w:pPr>
        <w:spacing w:before="0" w:after="60" w:line="276" w:lineRule="auto"/>
      </w:pPr>
      <w:r>
        <w:rPr>
          <w:rFonts w:ascii="Roboto" w:hAnsi="Roboto" w:eastAsia="Roboto"/>
          <w:b/>
          <w:caps/>
          <w:color w:val="979899"/>
          <w:sz w:val="17"/>
        </w:rPr>
        <w:t>DASHBOARD SHELL</w:t>
      </w:r>
    </w:p>
    <w:p>
      <w:pPr>
        <w:spacing w:before="0" w:after="80" w:line="276" w:lineRule="auto"/>
      </w:pPr>
      <w:r>
        <w:rPr>
          <w:rFonts w:ascii="Roboto" w:hAnsi="Roboto" w:eastAsia="Roboto"/>
          <w:b w:val="0"/>
          <w:color w:val="111111"/>
          <w:sz w:val="21"/>
        </w:rPr>
        <w:t>Use the top bar and account context to frame the product consistently. The hamburger dropdown should feel quieter, more refined, and more obviously related to the rest of the app.</w:t>
      </w:r>
    </w:p>
    <w:p>
      <w:pPr>
        <w:spacing w:before="0" w:after="60" w:line="276" w:lineRule="auto"/>
      </w:pPr>
      <w:r>
        <w:rPr>
          <w:rFonts w:ascii="Roboto" w:hAnsi="Roboto" w:eastAsia="Roboto"/>
          <w:b/>
          <w:caps/>
          <w:color w:val="979899"/>
          <w:sz w:val="17"/>
        </w:rPr>
        <w:t>RESULT OUTPUT AREAS</w:t>
      </w:r>
    </w:p>
    <w:p>
      <w:pPr>
        <w:spacing w:before="0" w:after="80" w:line="276" w:lineRule="auto"/>
      </w:pPr>
      <w:r>
        <w:rPr>
          <w:rFonts w:ascii="Roboto" w:hAnsi="Roboto" w:eastAsia="Roboto"/>
          <w:b w:val="0"/>
          <w:color w:val="111111"/>
          <w:sz w:val="21"/>
        </w:rPr>
        <w:t>Make totals, breakdowns, financial additions and rate summaries exceptionally readable. Emphasis should come from typography and spacing, not extra colour.</w:t>
      </w:r>
    </w:p>
    <w:p>
      <w:pPr>
        <w:spacing w:before="0" w:after="60" w:line="276" w:lineRule="auto"/>
      </w:pPr>
      <w:r>
        <w:rPr>
          <w:rFonts w:ascii="Roboto" w:hAnsi="Roboto" w:eastAsia="Roboto"/>
          <w:b/>
          <w:caps/>
          <w:color w:val="979899"/>
          <w:sz w:val="17"/>
        </w:rPr>
        <w:t>PRICING / UPGRADE</w:t>
      </w:r>
    </w:p>
    <w:p>
      <w:pPr>
        <w:spacing w:before="0" w:after="80" w:line="276" w:lineRule="auto"/>
      </w:pPr>
      <w:r>
        <w:rPr>
          <w:rFonts w:ascii="Roboto" w:hAnsi="Roboto" w:eastAsia="Roboto"/>
          <w:b w:val="0"/>
          <w:color w:val="111111"/>
          <w:sz w:val="21"/>
        </w:rPr>
        <w:t>Present plan value with confidence and clarity. Keep comparison logic clean, use restrained emphasis for the preferred plan, and avoid status colours that are not in the approved palette.</w:t>
      </w:r>
    </w:p>
    <w:p>
      <w:pPr>
        <w:spacing w:before="0" w:after="60" w:line="276" w:lineRule="auto"/>
      </w:pPr>
      <w:r>
        <w:rPr>
          <w:rFonts w:ascii="Roboto" w:hAnsi="Roboto" w:eastAsia="Roboto"/>
          <w:b/>
          <w:caps/>
          <w:color w:val="979899"/>
          <w:sz w:val="17"/>
        </w:rPr>
        <w:t>PROJECTS / CLIENTS / PROFILE</w:t>
      </w:r>
    </w:p>
    <w:p>
      <w:pPr>
        <w:spacing w:before="0" w:after="80" w:line="276" w:lineRule="auto"/>
      </w:pPr>
      <w:r>
        <w:rPr>
          <w:rFonts w:ascii="Roboto" w:hAnsi="Roboto" w:eastAsia="Roboto"/>
          <w:b w:val="0"/>
          <w:color w:val="111111"/>
          <w:sz w:val="21"/>
        </w:rPr>
        <w:t>These pages must stop feeling generic. Empty states, list cards and forms need the same polish and spacing discipline as the configurator.</w:t>
      </w:r>
    </w:p>
    <w:p>
      <w:pPr>
        <w:spacing w:before="0" w:after="60" w:line="276" w:lineRule="auto"/>
      </w:pPr>
      <w:r>
        <w:rPr>
          <w:rFonts w:ascii="Roboto" w:hAnsi="Roboto" w:eastAsia="Roboto"/>
          <w:b/>
          <w:caps/>
          <w:color w:val="979899"/>
          <w:sz w:val="17"/>
        </w:rPr>
        <w:t>PDF EXPORT</w:t>
      </w:r>
    </w:p>
    <w:p>
      <w:pPr>
        <w:spacing w:before="0" w:after="80" w:line="276" w:lineRule="auto"/>
      </w:pPr>
      <w:r>
        <w:rPr>
          <w:rFonts w:ascii="Roboto" w:hAnsi="Roboto" w:eastAsia="Roboto"/>
          <w:b w:val="0"/>
          <w:color w:val="111111"/>
          <w:sz w:val="21"/>
        </w:rPr>
        <w:t>Formal AprIQ expression. The document should mirror the app through typography discipline, restrained palette use, stable numeric hierarchy and clean legal/disclaimer treatment.</w:t>
      </w:r>
    </w:p>
    <w:p>
      <w:pPr>
        <w:spacing w:before="0" w:after="60" w:line="276" w:lineRule="auto"/>
      </w:pPr>
      <w:r>
        <w:rPr>
          <w:rFonts w:ascii="Roboto" w:hAnsi="Roboto" w:eastAsia="Roboto"/>
          <w:b/>
          <w:caps/>
          <w:color w:val="979899"/>
          <w:sz w:val="17"/>
        </w:rPr>
        <w:t>SHARE LINK</w:t>
      </w:r>
    </w:p>
    <w:p>
      <w:pPr>
        <w:spacing w:before="0" w:after="80" w:line="276" w:lineRule="auto"/>
      </w:pPr>
      <w:r>
        <w:rPr>
          <w:rFonts w:ascii="Roboto" w:hAnsi="Roboto" w:eastAsia="Roboto"/>
          <w:b w:val="0"/>
          <w:color w:val="111111"/>
          <w:sz w:val="21"/>
        </w:rPr>
        <w:t>Public-facing report view. It should feel like a lightweight web report aligned to both the PDF and the app, with trustworthy presentation and a clear CTA back into AprIQ.</w:t>
      </w:r>
    </w:p>
    <w:p>
      <w:pPr>
        <w:spacing w:before="0" w:after="40" w:line="276" w:lineRule="auto"/>
      </w:pPr>
      <w:r>
        <w:rPr>
          <w:rFonts w:ascii="Roboto" w:hAnsi="Roboto" w:eastAsia="Roboto"/>
          <w:b/>
          <w:caps/>
          <w:color w:val="0F4C5C"/>
          <w:sz w:val="17"/>
        </w:rPr>
        <w:t>06</w:t>
      </w:r>
    </w:p>
    <w:p>
      <w:pPr>
        <w:pStyle w:val="Heading1"/>
        <w:spacing w:before="0" w:after="120" w:line="276" w:lineRule="auto"/>
      </w:pPr>
      <w:r>
        <w:rPr>
          <w:rFonts w:ascii="Aptos" w:hAnsi="Aptos" w:eastAsia="Aptos"/>
          <w:b/>
          <w:color w:val="111111"/>
          <w:sz w:val="32"/>
        </w:rPr>
        <w:t>Implementation guardrails</w:t>
      </w:r>
    </w:p>
    <w:p>
      <w:pPr>
        <w:pStyle w:val="ListBullet"/>
        <w:spacing w:before="0" w:after="40" w:line="276" w:lineRule="auto"/>
      </w:pPr>
      <w:r>
        <w:rPr>
          <w:rFonts w:ascii="Roboto" w:hAnsi="Roboto" w:eastAsia="Roboto"/>
          <w:b w:val="0"/>
          <w:color w:val="111111"/>
          <w:sz w:val="20"/>
        </w:rPr>
        <w:t>Keep calculations, validation logic and workflows unchanged unless specifically instructed.</w:t>
      </w:r>
    </w:p>
    <w:p>
      <w:pPr>
        <w:pStyle w:val="ListBullet"/>
        <w:spacing w:before="0" w:after="40" w:line="276" w:lineRule="auto"/>
      </w:pPr>
      <w:r>
        <w:rPr>
          <w:rFonts w:ascii="Roboto" w:hAnsi="Roboto" w:eastAsia="Roboto"/>
          <w:b w:val="0"/>
          <w:color w:val="111111"/>
          <w:sz w:val="20"/>
        </w:rPr>
        <w:t>Treat menus, forms, pills, panels, tables, exported documents and share pages as one connected visual language.</w:t>
      </w:r>
    </w:p>
    <w:p>
      <w:pPr>
        <w:pStyle w:val="ListBullet"/>
        <w:spacing w:before="0" w:after="40" w:line="276" w:lineRule="auto"/>
      </w:pPr>
      <w:r>
        <w:rPr>
          <w:rFonts w:ascii="Roboto" w:hAnsi="Roboto" w:eastAsia="Roboto"/>
          <w:b w:val="0"/>
          <w:color w:val="111111"/>
          <w:sz w:val="20"/>
        </w:rPr>
        <w:t>Prefer calm hierarchy, clear grouping and generous alignment over decorative styling.</w:t>
      </w:r>
    </w:p>
    <w:p>
      <w:pPr>
        <w:pStyle w:val="ListBullet"/>
        <w:spacing w:before="0" w:after="40" w:line="276" w:lineRule="auto"/>
      </w:pPr>
      <w:r>
        <w:rPr>
          <w:rFonts w:ascii="Roboto" w:hAnsi="Roboto" w:eastAsia="Roboto"/>
          <w:b w:val="0"/>
          <w:color w:val="111111"/>
          <w:sz w:val="20"/>
        </w:rPr>
        <w:t>Do not improvise with extra colours, extra fonts, green status treatments, hard square corners or heavy shadow systems.</w:t>
      </w:r>
    </w:p>
    <w:p>
      <w:pPr>
        <w:pStyle w:val="ListBullet"/>
        <w:spacing w:before="0" w:after="40" w:line="276" w:lineRule="auto"/>
      </w:pPr>
      <w:r>
        <w:rPr>
          <w:rFonts w:ascii="Roboto" w:hAnsi="Roboto" w:eastAsia="Roboto"/>
          <w:b w:val="0"/>
          <w:color w:val="111111"/>
          <w:sz w:val="20"/>
        </w:rPr>
        <w:t>This document itself should be treated as a live visual test of the AprIQ UI rules.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Aptos" w:ascii="Aptos" w:hAnsi="Aptos"/>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Aptos" w:ascii="Aptos" w:hAnsi="Aptos"/>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Aptos" w:ascii="Roboto" w:hAnsi="Roboto"/>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Aptos" w:ascii="Aptos" w:hAnsi="Aptos"/>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Aptos" w:ascii="Roboto" w:hAnsi="Roboto"/>
      <w:i/>
      <w:iCs/>
      <w:color w:val="97989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