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dsadasd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2025/09099/020457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 xml:space="preserve">dsadasd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 xml:space="preserve">2025/09099/020457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Manutenção preventiva e corretiva da piscina semiolímpica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06.182.1160.2348</w:t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761</w:t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33.90.39.16</w:t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 xml:space="preserve">undefined</w:t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 xml:space="preserve">A contratação está prevista no Plano de Contratações Anual conforme planejamento estratégico institucional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undefined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undefined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foi avaliado a duração inicial do contrato? (art. 106 da Lei nº14.133/2021), justificar: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especificar: Não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justificar: 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Sim.  Contrato nº: undefined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Prazo final: undefined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limitado a: undefined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undefined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SGD Nº undefined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undefined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undefined</w:t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/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Outro. Especificar: undefined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undefined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Outro, indicar o benefício:  undefined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undefined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indicar: undefined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 os impactos: undefined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contratação apresenta viabilidade técnica, econômica e ambiental, atendendo adequadamente à necessidade identificada e contribuindo para o cumprimento dos objetivos institucionais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