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ESTUDO TÉCNICO PRELIMINAR Nº gfdgfg    </w:t>
      </w:r>
    </w:p>
    <w:p>
      <w:pPr>
        <w:pStyle w:val="Normal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SGD Nº 2025/09099/020457 </w:t>
      </w:r>
    </w:p>
    <w:p>
      <w:pPr>
        <w:pStyle w:val="Normal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0"/>
      </w:tblGrid>
      <w:tr>
        <w:trPr>
          <w:trHeight w:val="97" w:hRule="atLeast"/>
        </w:trPr>
        <w:tc>
          <w:tcPr>
            <w:tcW w:w="9070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before="0" w:after="0"/>
              <w:ind w:right="283"/>
              <w:jc w:val="center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ESTUDO TËCNICO PRELIMINAR N</w:t>
            </w: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u w:val="single"/>
                <w:vertAlign w:val="superscript"/>
                <w:lang w:val="pt-BR" w:eastAsia="pt-BR" w:bidi="ar-SA"/>
              </w:rPr>
              <w:t>o</w:t>
            </w: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</w:t>
            </w:r>
            <w:r>
              <w:rPr>
                <w:sz w:val="22"/>
              </w:rPr>
              <w:t xml:space="preserve">gfdgfg</w:t>
            </w:r>
          </w:p>
          <w:p>
            <w:pPr>
              <w:pStyle w:val="Normal"/>
              <w:widowControl/>
              <w:spacing w:before="0" w:after="0"/>
              <w:ind w:right="283"/>
              <w:jc w:val="center"/>
              <w:rPr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SGD Nº </w:t>
            </w:r>
            <w:r>
              <w:rPr>
                <w:sz w:val="22"/>
              </w:rPr>
              <w:t xml:space="preserve">2025/09099/020457</w:t>
            </w:r>
          </w:p>
        </w:tc>
      </w:tr>
    </w:tbl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rmal"/>
        <w:jc w:val="center"/>
        <w:rPr>
          <w:b/>
          <w:bCs/>
          <w:sz w:val="20"/>
        </w:rPr>
      </w:pPr>
      <w:r>
        <w:rPr>
          <w:b/>
          <w:bCs/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91"/>
        <w:gridCol w:w="7178"/>
      </w:tblGrid>
      <w:tr>
        <w:trPr>
          <w:trHeight w:val="421" w:hRule="atLeast"/>
        </w:trPr>
        <w:tc>
          <w:tcPr>
            <w:tcW w:w="906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I - DESCRIÇÃO DA NECESSIDADE DA CONTRATAÇÃO 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(OBRIGATÓRIO)</w:t>
            </w:r>
          </w:p>
        </w:tc>
      </w:tr>
      <w:tr>
        <w:trPr/>
        <w:tc>
          <w:tcPr>
            <w:tcW w:w="1891" w:type="dxa"/>
            <w:tcBorders/>
            <w:vAlign w:val="center"/>
          </w:tcPr>
          <w:p>
            <w:pPr>
              <w:pStyle w:val="Default"/>
              <w:widowControl/>
              <w:suppressAutoHyphens w:val="true"/>
              <w:spacing w:before="120" w:after="12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0"/>
                <w:szCs w:val="20"/>
                <w:lang w:val="pt-BR" w:eastAsia="pt-BR" w:bidi="ar-SA"/>
              </w:rPr>
              <w:t>Qual a necessidade a ser atendida?</w:t>
            </w:r>
          </w:p>
        </w:tc>
        <w:tc>
          <w:tcPr>
            <w:tcW w:w="7178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Manutenção preventiva e corretiva da piscina semiolímpica</w:t>
            </w:r>
          </w:p>
        </w:tc>
      </w:tr>
    </w:tbl>
    <w:p>
      <w:pPr>
        <w:pStyle w:val="Normal"/>
        <w:rPr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rPr>
          <w:b/>
          <w:bCs/>
          <w:sz w:val="20"/>
        </w:rPr>
      </w:pPr>
      <w:r>
        <w:rPr>
          <w:b/>
          <w:bCs/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29"/>
        <w:gridCol w:w="1162"/>
        <w:gridCol w:w="5979"/>
      </w:tblGrid>
      <w:tr>
        <w:trPr>
          <w:trHeight w:val="419" w:hRule="atLeast"/>
        </w:trPr>
        <w:tc>
          <w:tcPr>
            <w:tcW w:w="9070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II - 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DEMONSTRAÇÃO DA PREVISÃO DA CONTRATAÇÃO NO PLANO DE CONTRATAÇÕES ANUAL</w:t>
            </w:r>
          </w:p>
        </w:tc>
      </w:tr>
      <w:tr>
        <w:trPr>
          <w:trHeight w:val="2398" w:hRule="atLeast"/>
        </w:trPr>
        <w:tc>
          <w:tcPr>
            <w:tcW w:w="9070" w:type="dxa"/>
            <w:gridSpan w:val="3"/>
            <w:tcBorders/>
            <w:vAlign w:val="center"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0"/>
                <w:szCs w:val="20"/>
                <w:lang w:val="pt-BR" w:eastAsia="pt-BR" w:bidi="ar-SA"/>
              </w:rPr>
              <w:t>A contratação em tela tem adequação orçamentária e compatibilidade com o Plano Plurianual (PPA), com a Lei Orçamentária Anual (LOA), com a Lei de Diretrizes Orçamentárias (LDO) e está alinhada ao planejamento estratégico institucional.</w:t>
            </w:r>
          </w:p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0"/>
                <w:szCs w:val="20"/>
                <w:lang w:val="pt-BR" w:eastAsia="pt-BR" w:bidi="ar-SA"/>
              </w:rPr>
              <w:t>A despesa está amparada por dotação orçamentária própria, regularmente consignada na funcional programática indicada no quadro abaixo:</w:t>
            </w:r>
          </w:p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tbl>
            <w:tblPr>
              <w:tblStyle w:val="Tabelacomgrade"/>
              <w:tblpPr w:vertAnchor="text" w:horzAnchor="margin" w:tblpXSpec="center" w:leftFromText="141" w:rightFromText="141" w:tblpY="-287"/>
              <w:tblOverlap w:val="never"/>
              <w:tblW w:w="733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666"/>
              <w:gridCol w:w="1835"/>
              <w:gridCol w:w="1834"/>
            </w:tblGrid>
            <w:tr>
              <w:trPr/>
              <w:tc>
                <w:tcPr>
                  <w:tcW w:w="3666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120" w:after="120"/>
                    <w:jc w:val="center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20"/>
                      <w:szCs w:val="20"/>
                      <w:lang w:val="pt-BR" w:eastAsia="pt-BR" w:bidi="ar-SA"/>
                    </w:rPr>
                    <w:t>CLASSIFICAÇÃO ORÇAMENTÁRIA</w:t>
                  </w:r>
                </w:p>
              </w:tc>
              <w:tc>
                <w:tcPr>
                  <w:tcW w:w="1835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120" w:after="120"/>
                    <w:jc w:val="center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20"/>
                      <w:szCs w:val="20"/>
                      <w:lang w:val="pt-BR" w:eastAsia="pt-BR" w:bidi="ar-SA"/>
                    </w:rPr>
                    <w:t>FONTE</w:t>
                  </w:r>
                </w:p>
              </w:tc>
              <w:tc>
                <w:tcPr>
                  <w:tcW w:w="1834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120" w:after="120"/>
                    <w:jc w:val="center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20"/>
                      <w:szCs w:val="20"/>
                      <w:lang w:val="pt-BR" w:eastAsia="pt-BR" w:bidi="ar-SA"/>
                    </w:rPr>
                    <w:t>ELEMENTO DE DESPESA</w:t>
                  </w:r>
                </w:p>
              </w:tc>
            </w:tr>
            <w:tr>
              <w:trPr/>
              <w:tc>
                <w:tcPr>
                  <w:tcW w:w="3666" w:type="dxa"/>
                  <w:tcBorders/>
                </w:tcPr>
                <w:p>
                  <w:pPr>
                    <w:pStyle w:val="Default"/>
                    <w:widowControl/>
                    <w:suppressAutoHyphens w:val="true"/>
                    <w:spacing w:before="120" w:after="120"/>
                    <w:jc w:val="left"/>
                    <w:rPr>
                      <w:rFonts w:ascii="Calibri" w:hAnsi="Calibri" w:cs="Calibri" w:asciiTheme="minorHAnsi" w:cstheme="minorHAnsi" w:hAnsiTheme="minorHAnsi"/>
                      <w:sz w:val="20"/>
                      <w:szCs w:val="20"/>
                    </w:rPr>
                  </w:pPr>
                  <w:r>
                    <w:rPr>
                      <w:rFonts w:eastAsia="Calibri" w:cs="Calibri" w:ascii="Calibri" w:hAnsi="Calibri" w:cstheme="minorHAnsi"/>
                      <w:color w:val="000000"/>
                      <w:kern w:val="0"/>
                      <w:sz w:val="20"/>
                      <w:szCs w:val="20"/>
                      <w:lang w:val="pt-BR" w:eastAsia="pt-BR" w:bidi="ar-SA"/>
                    </w:rPr>
                    <w:t xml:space="preserve">06.182.1160.2348</w:t>
                  </w:r>
                </w:p>
              </w:tc>
              <w:tc>
                <w:tcPr>
                  <w:tcW w:w="1835" w:type="dxa"/>
                  <w:tcBorders/>
                </w:tcPr>
                <w:p>
                  <w:pPr>
                    <w:pStyle w:val="Default"/>
                    <w:widowControl/>
                    <w:suppressAutoHyphens w:val="true"/>
                    <w:spacing w:before="120" w:after="120"/>
                    <w:jc w:val="lef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eastAsia="Calibri" w:cs="Calibri" w:ascii="Calibri" w:hAnsi="Calibri"/>
                      <w:color w:val="000000"/>
                      <w:kern w:val="0"/>
                      <w:sz w:val="20"/>
                      <w:szCs w:val="20"/>
                      <w:lang w:val="pt-BR" w:eastAsia="pt-BR" w:bidi="ar-SA"/>
                    </w:rPr>
                    <w:t xml:space="preserve">761</w:t>
                  </w:r>
                </w:p>
              </w:tc>
              <w:tc>
                <w:tcPr>
                  <w:tcW w:w="1834" w:type="dxa"/>
                  <w:tcBorders/>
                </w:tcPr>
                <w:p>
                  <w:pPr>
                    <w:pStyle w:val="Default"/>
                    <w:widowControl/>
                    <w:suppressAutoHyphens w:val="true"/>
                    <w:spacing w:before="120" w:after="120"/>
                    <w:jc w:val="lef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eastAsia="Calibri" w:cs="Calibri" w:ascii="Calibri" w:hAnsi="Calibri"/>
                      <w:color w:val="000000"/>
                      <w:kern w:val="0"/>
                      <w:sz w:val="20"/>
                      <w:szCs w:val="20"/>
                      <w:lang w:val="pt-BR" w:eastAsia="pt-BR" w:bidi="ar-SA"/>
                    </w:rPr>
                    <w:t xml:space="preserve">33.90.39.16</w:t>
                  </w:r>
                </w:p>
              </w:tc>
            </w:tr>
          </w:tbl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Default"/>
              <w:widowControl/>
              <w:suppressAutoHyphens w:val="true"/>
              <w:spacing w:before="120" w:after="12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192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previsão no plano de contratações anual?</w:t>
            </w:r>
          </w:p>
        </w:tc>
        <w:tc>
          <w:tcPr>
            <w:tcW w:w="1162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</w:t>
            </w:r>
            <w:r>
              <w:rPr>
                <w:sz w:val="22"/>
              </w:rPr>
              <w:t xml:space="preserve">x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 Sim</w:t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Default"/>
              <w:widowControl/>
              <w:suppressAutoHyphens w:val="true"/>
              <w:spacing w:before="120" w:after="12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Nº. do protocolo de envio do PCA ao PNCP: </w:t>
            </w:r>
            <w:r>
              <w:rPr/>
              <w:t xml:space="preserve">07924551000190-0-000001/2025</w:t>
            </w:r>
          </w:p>
        </w:tc>
      </w:tr>
      <w:tr>
        <w:trPr/>
        <w:tc>
          <w:tcPr>
            <w:tcW w:w="192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62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  )  Não</w:t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Justificar: </w:t>
            </w:r>
            <w:r>
              <w:rPr>
                <w:sz w:val="22"/>
              </w:rPr>
              <w:t xml:space="preserve">A contratação está prevista no Plano de Contratações Anual conforme planejamento estratégico institucional</w:t>
            </w:r>
          </w:p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tabs>
          <w:tab w:val="clear" w:pos="709"/>
          <w:tab w:val="left" w:pos="1670" w:leader="none"/>
        </w:tabs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74"/>
        <w:gridCol w:w="951"/>
        <w:gridCol w:w="670"/>
        <w:gridCol w:w="1918"/>
        <w:gridCol w:w="3756"/>
      </w:tblGrid>
      <w:tr>
        <w:trPr>
          <w:trHeight w:val="410" w:hRule="atLeast"/>
        </w:trPr>
        <w:tc>
          <w:tcPr>
            <w:tcW w:w="9069" w:type="dxa"/>
            <w:gridSpan w:val="5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III - REQUISITOS DE CONTRATAÇÃO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Qual o tipo de objeto?</w:t>
            </w:r>
          </w:p>
        </w:tc>
        <w:tc>
          <w:tcPr>
            <w:tcW w:w="7295" w:type="dxa"/>
            <w:gridSpan w:val="4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</w:t>
            </w:r>
            <w:r>
              <w:rPr>
                <w:sz w:val="22"/>
              </w:rPr>
              <w:t xml:space="preserve"> 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Bem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</w:t>
            </w:r>
            <w:r>
              <w:rPr>
                <w:sz w:val="22"/>
              </w:rPr>
              <w:t xml:space="preserve">x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 ) Serviço</w:t>
            </w:r>
          </w:p>
        </w:tc>
      </w:tr>
      <w:tr>
        <w:trPr/>
        <w:tc>
          <w:tcPr>
            <w:tcW w:w="177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Qual a natureza?</w:t>
            </w:r>
          </w:p>
        </w:tc>
        <w:tc>
          <w:tcPr>
            <w:tcW w:w="3539" w:type="dxa"/>
            <w:gridSpan w:val="3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</w:t>
            </w:r>
            <w:r>
              <w:rPr>
                <w:sz w:val="22"/>
              </w:rPr>
              <w:t xml:space="preserve"> 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 ) Continuada</w:t>
            </w:r>
          </w:p>
        </w:tc>
        <w:tc>
          <w:tcPr>
            <w:tcW w:w="375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</w:t>
            </w:r>
            <w:r>
              <w:rPr>
                <w:sz w:val="22"/>
              </w:rPr>
              <w:t xml:space="preserve"> 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Com Monopólio</w:t>
            </w:r>
          </w:p>
        </w:tc>
      </w:tr>
      <w:tr>
        <w:trPr/>
        <w:tc>
          <w:tcPr>
            <w:tcW w:w="177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39" w:type="dxa"/>
            <w:gridSpan w:val="3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5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</w:t>
            </w:r>
            <w:r>
              <w:rPr>
                <w:sz w:val="22"/>
              </w:rPr>
              <w:t xml:space="preserve">x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Sem Monopólio</w:t>
            </w:r>
          </w:p>
        </w:tc>
      </w:tr>
      <w:tr>
        <w:trPr>
          <w:trHeight w:val="414" w:hRule="atLeast"/>
        </w:trPr>
        <w:tc>
          <w:tcPr>
            <w:tcW w:w="1774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</w:t>
            </w:r>
            <w:r>
              <w:rPr>
                <w:sz w:val="22"/>
              </w:rPr>
              <w:t xml:space="preserve"> 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Não Continuada</w:t>
            </w:r>
          </w:p>
        </w:tc>
      </w:tr>
      <w:tr>
        <w:trPr>
          <w:trHeight w:val="1008" w:hRule="atLeast"/>
        </w:trPr>
        <w:tc>
          <w:tcPr>
            <w:tcW w:w="177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Qual a vigência?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30 (trinta) dias - pronta entrega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12 (doze) meses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) 5 (cinco) anos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undefined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) Indeterminado</w:t>
            </w:r>
          </w:p>
        </w:tc>
      </w:tr>
      <w:tr>
        <w:trPr>
          <w:trHeight w:val="810" w:hRule="atLeast"/>
        </w:trPr>
        <w:tc>
          <w:tcPr>
            <w:tcW w:w="1774" w:type="dxa"/>
            <w:vMerge w:val="continue"/>
            <w:tcBorders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39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x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Outro:</w:t>
            </w:r>
          </w:p>
        </w:tc>
        <w:tc>
          <w:tcPr>
            <w:tcW w:w="375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dias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12 ) meses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anos</w:t>
            </w:r>
          </w:p>
        </w:tc>
      </w:tr>
      <w:tr>
        <w:trPr>
          <w:trHeight w:val="863" w:hRule="atLeast"/>
        </w:trPr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Poderá haver prorrogação?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x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 ) Sim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) Não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Não se aplica porque o prazo é indeterminado.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O objeto da contratação trata- se de fornecimento ou serviço continuado?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 x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) Sim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 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  ) Não</w:t>
            </w:r>
          </w:p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Em caso afirmativo, foi avaliado a duração inicial do contrato? (art. 106 da Lei nº14.133/2021), justificar: O serviço de manutenção de piscina requer continuidade para garantir a qualidade sanitária da água e funcionamento adequado das instalações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/>
            </w:r>
          </w:p>
          <w:p>
            <w:pPr>
              <w:pStyle w:val="Normal"/>
              <w:widowControl/>
              <w:spacing w:before="12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77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trike/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Descrição do produto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5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Item</w:t>
            </w:r>
          </w:p>
        </w:tc>
        <w:tc>
          <w:tcPr>
            <w:tcW w:w="67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Código SIGA</w:t>
            </w:r>
          </w:p>
        </w:tc>
        <w:tc>
          <w:tcPr>
            <w:tcW w:w="5674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Descrição detalhada</w:t>
            </w:r>
          </w:p>
        </w:tc>
      </w:tr>
      <w:tr>
        <w:trPr/>
        <w:tc>
          <w:tcPr>
            <w:tcW w:w="177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5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1</w:t>
            </w:r>
          </w:p>
        </w:tc>
        <w:tc>
          <w:tcPr>
            <w:tcW w:w="6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00026008</w:t>
            </w:r>
          </w:p>
        </w:tc>
        <w:tc>
          <w:tcPr>
            <w:tcW w:w="5674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Calibri" w:cstheme="minorHAnsi"/>
                <w:b/>
                <w:color w:val="000000"/>
                <w:kern w:val="0"/>
                <w:sz w:val="20"/>
                <w:szCs w:val="20"/>
                <w:shd w:fill="FFFFFF" w:val="clear"/>
                <w:lang w:val="pt-BR" w:eastAsia="pt-BR" w:bidi="ar-SA"/>
              </w:rPr>
            </w:pPr>
            <w:r>
              <w:rPr>
                <w:rFonts w:eastAsia="Calibri" w:cs="Calibri" w:cstheme="minorHAnsi"/>
                <w:b/>
                <w:color w:val="000000"/>
                <w:kern w:val="0"/>
                <w:sz w:val="20"/>
                <w:szCs w:val="20"/>
                <w:shd w:fill="FFFFFF" w:val="clear"/>
                <w:lang w:val="pt-BR" w:eastAsia="pt-BR" w:bidi="ar-SA"/>
              </w:rPr>
              <w:t xml:space="preserve">Limpeza, tratamento e conservação de piscina semiolímpica, incluindo todos os insumos necessários. </w:t>
            </w:r>
          </w:p>
        </w:tc>
      </w:tr>
      <w:tr>
        <w:trPr>
          <w:trHeight w:val="1605" w:hRule="atLeast"/>
        </w:trPr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critérios ou práticas de sustentabilidade?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x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Sim</w:t>
            </w:r>
          </w:p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Não</w:t>
            </w:r>
          </w:p>
          <w:p>
            <w:pPr>
              <w:pStyle w:val="Normal"/>
              <w:widowControl/>
              <w:spacing w:before="120" w:after="120"/>
              <w:contextualSpacing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Em caso afirmativo, especificar: Não foram identificados critérios de sustentabilidade aplicáveis, uma vez que o documento indica que não há práticas de sustentabilidade envolvidas na contratação.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/>
            </w:r>
          </w:p>
          <w:p>
            <w:pPr>
              <w:pStyle w:val="Normal"/>
              <w:widowControl/>
              <w:spacing w:before="120" w:after="12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necessidade de treinamento?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x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 Sim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 Não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Os bens a serem adquiridos se enquadram como bem de luxo?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x  ) 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 Não</w:t>
            </w:r>
          </w:p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O objeto pretendido não se caracteriza como bem de luxo, uma vez que não está incluído no rol previsto no Decreto Federal nº 10.818/2021, tampouco apresenta as características descritas no art. 2º, inciso IV, do Decreto Estadual nº 6.548, de 13 de dezembro de 2022.</w:t>
            </w:r>
          </w:p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Em caso afirmativo, justificar: O objeto não se caracteriza como bem de luxo, sendo equipamento essencial para as atividades do órgão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A contratada deverá promover transição contratual com transferência de conhecimento, tecnologia e técnicas empregadas?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) Sim.  Contrato nº:  </w:t>
            </w:r>
          </w:p>
          <w:p>
            <w:pPr>
              <w:pStyle w:val="Normal"/>
              <w:widowControl/>
              <w:spacing w:before="120" w:after="120"/>
              <w:jc w:val="left"/>
              <w:rPr>
                <w:color w:val="FF0000"/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                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Prazo final:  </w:t>
            </w:r>
          </w:p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x  ) Não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normativos específicos que disciplinam os serviços ou produtos a serem contratados?</w:t>
            </w:r>
          </w:p>
        </w:tc>
        <w:tc>
          <w:tcPr>
            <w:tcW w:w="7295" w:type="dxa"/>
            <w:gridSpan w:val="4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x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 )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Não</w:t>
            </w:r>
          </w:p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afirmativo relacionar normativos técnicos e regulatórios específicos: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A contratação está sujeita à NBR 10339 da ABNT, que regulamenta o projeto, execução e manutenção de piscinas.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Local de entrega do bem ou de prestação do serviço: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Quadra 403 Sul, Av. LO 09, S/n Plano Diretor Sul, CEP: 77.015-560, Palmas – TO, no 1° Batalhão de Bombeiros Militar/ Centro de Reabilitação do CBMTO.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/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Será exigida amostra ou prova de conceito?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x  )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Não</w:t>
            </w:r>
          </w:p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afirmativo, justificar a necessidade e descrever:</w:t>
            </w:r>
          </w:p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Há necessidade de amostra ou prova de conceito para garantir a continuidade e qualidade do serviço prestado.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Consta exigência de marca específica?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x  ) 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 Não</w:t>
            </w:r>
          </w:p>
          <w:p>
            <w:pPr>
              <w:pStyle w:val="Normal"/>
              <w:widowControl/>
              <w:spacing w:before="120" w:after="120"/>
              <w:contextualSpacing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afirmativo, justificar:</w:t>
            </w:r>
          </w:p>
          <w:p>
            <w:pPr>
              <w:pStyle w:val="Normal"/>
              <w:widowControl/>
              <w:spacing w:before="120" w:after="120"/>
              <w:contextualSpacing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Não há exigência de marca específica para os produtos ou serviços contratados.</w:t>
            </w:r>
          </w:p>
          <w:p>
            <w:pPr>
              <w:pStyle w:val="Normal"/>
              <w:widowControl/>
              <w:spacing w:before="120" w:after="120"/>
              <w:contextualSpacing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Será permitida subcontratação?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x  ) 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 Não</w:t>
            </w:r>
          </w:p>
          <w:p>
            <w:pPr>
              <w:pStyle w:val="Normal"/>
              <w:widowControl/>
              <w:spacing w:before="120" w:after="120"/>
              <w:contextualSpacing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Em caso afirmativo, limitado a: undefined</w:t>
            </w:r>
          </w:p>
        </w:tc>
      </w:tr>
    </w:tbl>
    <w:p>
      <w:pPr>
        <w:pStyle w:val="Normal"/>
        <w:rPr>
          <w:b/>
          <w:bCs/>
          <w:sz w:val="20"/>
        </w:rPr>
      </w:pPr>
      <w:r>
        <w:rPr>
          <w:b/>
          <w:bCs/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30"/>
        <w:gridCol w:w="635"/>
        <w:gridCol w:w="4721"/>
        <w:gridCol w:w="895"/>
        <w:gridCol w:w="989"/>
      </w:tblGrid>
      <w:tr>
        <w:trPr>
          <w:trHeight w:val="397" w:hRule="atLeast"/>
        </w:trPr>
        <w:tc>
          <w:tcPr>
            <w:tcW w:w="9070" w:type="dxa"/>
            <w:gridSpan w:val="5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IV - ESTIMATIVAS DAS QUANTIDADES PARA A CONTRATAÇÃO (OBRIGATÓRIO)</w:t>
            </w:r>
          </w:p>
        </w:tc>
      </w:tr>
      <w:tr>
        <w:trPr/>
        <w:tc>
          <w:tcPr>
            <w:tcW w:w="183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Como se obteve o quantitativo estimado?</w:t>
            </w:r>
          </w:p>
        </w:tc>
        <w:tc>
          <w:tcPr>
            <w:tcW w:w="7240" w:type="dxa"/>
            <w:gridSpan w:val="4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Análise de contratações anteriores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Análise de contratações similares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x   ) Outro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Especificar: A metodologia técnica para cálculo das quantidades baseia-se na análise de contratações anteriores, considerando a necessidade de manutenção diária da piscina semiolímpica. A frequência de serviços foi definida em seis vezes por semana, resultando em 24 manutenções mensais. Este cálculo considera a área e o volume da piscina, garantindo a adequação ao uso contínuo no Programa Educacional Bombeiro Mirim.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</w:r>
          </w:p>
        </w:tc>
      </w:tr>
      <w:tr>
        <w:trPr>
          <w:trHeight w:val="2098" w:hRule="atLeast"/>
        </w:trPr>
        <w:tc>
          <w:tcPr>
            <w:tcW w:w="1830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Descrição do Quantitativo</w:t>
            </w:r>
          </w:p>
        </w:tc>
        <w:tc>
          <w:tcPr>
            <w:tcW w:w="7240" w:type="dxa"/>
            <w:gridSpan w:val="4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O dimensionamento foi calculado com base na necessidade de 24 manutenções mensais, multiplicadas por 12 meses, totalizando 288 manutenções anuais. Cada manutenção inclui limpeza, tratamento e conservação da piscina, com fornecimento de insumos e mão de obra especializada, conforme especificações técnicas e operacionais exigidas.</w:t>
            </w:r>
            <w:r>
              <w:rPr>
                <w:sz w:val="22"/>
              </w:rPr>
              <w:t/>
            </w:r>
          </w:p>
        </w:tc>
      </w:tr>
      <w:tr>
        <w:trPr>
          <w:trHeight w:val="2948" w:hRule="atLeast"/>
        </w:trPr>
        <w:tc>
          <w:tcPr>
            <w:tcW w:w="183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40" w:type="dxa"/>
            <w:gridSpan w:val="4"/>
            <w:tcBorders/>
            <w:vAlign w:val="center"/>
          </w:tcPr>
          <w:tbl>
            <w:tblPr>
              <w:tblStyle w:val="Tabelacomgrade"/>
              <w:tblpPr w:vertAnchor="text" w:horzAnchor="margin" w:tblpXSpec="center" w:leftFromText="141" w:rightFromText="141" w:tblpY="-287"/>
              <w:tblOverlap w:val="never"/>
              <w:tblW w:w="7007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113"/>
              <w:gridCol w:w="1985"/>
              <w:gridCol w:w="1909"/>
            </w:tblGrid>
            <w:tr>
              <w:trPr>
                <w:trHeight w:val="398" w:hRule="atLeast"/>
              </w:trPr>
              <w:tc>
                <w:tcPr>
                  <w:tcW w:w="7007" w:type="dxa"/>
                  <w:gridSpan w:val="3"/>
                  <w:tcBorders/>
                  <w:shd w:color="auto" w:fill="D9D9D9" w:themeFill="background1" w:themeFillShade="d9" w:val="clear"/>
                  <w:vAlign w:val="cente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>SÉRIE HISTÓRICA DE CONSUMO</w:t>
                  </w:r>
                </w:p>
              </w:tc>
            </w:tr>
            <w:tr>
              <w:trPr>
                <w:trHeight w:val="295" w:hRule="atLeast"/>
              </w:trPr>
              <w:tc>
                <w:tcPr>
                  <w:tcW w:w="3113" w:type="dxa"/>
                  <w:vMerge w:val="restart"/>
                  <w:tcBorders/>
                  <w:shd w:color="auto" w:fill="D9D9D9" w:themeFill="background1" w:themeFillShade="d9" w:val="clear"/>
                  <w:vAlign w:val="cente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>DESCRIÇÃO</w:t>
                  </w:r>
                </w:p>
              </w:tc>
              <w:tc>
                <w:tcPr>
                  <w:tcW w:w="1985" w:type="dxa"/>
                  <w:vMerge w:val="restart"/>
                  <w:tcBorders/>
                  <w:shd w:color="auto" w:fill="D9D9D9" w:themeFill="background1" w:themeFillShade="d9" w:val="clear"/>
                  <w:vAlign w:val="cente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>UNIDADE</w:t>
                  </w:r>
                </w:p>
              </w:tc>
              <w:tc>
                <w:tcPr>
                  <w:tcW w:w="1909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>EXERCÍCIO</w:t>
                  </w:r>
                </w:p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 xml:space="preserve">2025</w:t>
                  </w:r>
                </w:p>
              </w:tc>
            </w:tr>
            <w:tr>
              <w:trPr>
                <w:trHeight w:val="373" w:hRule="atLeast"/>
              </w:trPr>
              <w:tc>
                <w:tcPr>
                  <w:tcW w:w="3113" w:type="dxa"/>
                  <w:vMerge w:val="continue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cs="Calibri" w:ascii="Calibri" w:hAnsi="Calibri"/>
                      <w:b/>
                      <w:sz w:val="16"/>
                      <w:szCs w:val="16"/>
                    </w:rPr>
                  </w:r>
                </w:p>
              </w:tc>
              <w:tc>
                <w:tcPr>
                  <w:tcW w:w="1985" w:type="dxa"/>
                  <w:vMerge w:val="continue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cs="Calibri" w:ascii="Calibri" w:hAnsi="Calibri"/>
                      <w:b/>
                      <w:sz w:val="16"/>
                      <w:szCs w:val="16"/>
                    </w:rPr>
                  </w:r>
                </w:p>
              </w:tc>
              <w:tc>
                <w:tcPr>
                  <w:tcW w:w="1909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>PAE:</w:t>
                  </w:r>
                </w:p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 xml:space="preserve">SGD Nº 2025/09099/020457</w:t>
                  </w:r>
                </w:p>
              </w:tc>
            </w:tr>
            <w:tr>
              <w:trPr>
                <w:trHeight w:val="503" w:hRule="atLeast"/>
              </w:trPr>
              <w:tc>
                <w:tcPr>
                  <w:tcW w:w="3113" w:type="dxa"/>
                  <w:vMerge w:val="continue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cs="Calibri" w:ascii="Calibri" w:hAnsi="Calibri"/>
                      <w:b/>
                      <w:sz w:val="16"/>
                      <w:szCs w:val="16"/>
                    </w:rPr>
                  </w:r>
                </w:p>
              </w:tc>
              <w:tc>
                <w:tcPr>
                  <w:tcW w:w="1985" w:type="dxa"/>
                  <w:vMerge w:val="continue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cs="Calibri" w:ascii="Calibri" w:hAnsi="Calibri"/>
                      <w:b/>
                      <w:sz w:val="16"/>
                      <w:szCs w:val="16"/>
                    </w:rPr>
                  </w:r>
                </w:p>
              </w:tc>
              <w:tc>
                <w:tcPr>
                  <w:tcW w:w="1909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>QUANTIDADE CONSUMIDA</w:t>
                  </w:r>
                </w:p>
              </w:tc>
            </w:tr>
            <w:tr>
              <w:trPr>
                <w:trHeight w:val="522" w:hRule="atLeast"/>
              </w:trPr>
              <w:tc>
                <w:tcPr>
                  <w:tcW w:w="3113" w:type="dxa"/>
                  <w:tcBorders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 xml:space="preserve">A análise de série histórica indica que, em 2024, foram realizados 144 serviços anuais de manutenção da piscina. Para 2025, a estimativa foi ajustada para 288 serviços anuais, refletindo um aumento na frequência de manutenção para garantir a qualidade contínua da água e a segurança dos usuários.</w:t>
                  </w:r>
                  <w:r>
                    <w:rPr>
                      <w:rFonts w:ascii="Calibri" w:hAnsi="Calibri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1985" w:type="dxa"/>
                  <w:tcBorders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 xml:space="preserve">MENSAL SERVIÇO</w:t>
                  </w:r>
                  <w:r>
                    <w:rPr>
                      <w:rFonts w:ascii="Calibri" w:hAnsi="Calibri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1909" w:type="dxa"/>
                  <w:tcBorders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 xml:space="preserve">12</w:t>
                  </w:r>
                  <w:r>
                    <w:rPr>
                      <w:rFonts w:ascii="Calibri" w:hAnsi="Calibri"/>
                      <w:sz w:val="16"/>
                      <w:szCs w:val="16"/>
                    </w:rPr>
                    <w:t/>
                  </w:r>
                  <w:r>
                    <w:rPr>
                      <w:rFonts w:eastAsia="Calibri" w:cs="Calibri" w:ascii="Calibri" w:hAnsi="Calibri"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 xml:space="preserve"> serviços anuais</w:t>
                  </w:r>
                </w:p>
              </w:tc>
            </w:tr>
          </w:tbl>
          <w:p>
            <w:pPr>
              <w:pStyle w:val="Normal"/>
              <w:widowControl/>
              <w:spacing w:before="0" w:after="0"/>
              <w:jc w:val="both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</w:r>
          </w:p>
        </w:tc>
      </w:tr>
      <w:tr>
        <w:trPr/>
        <w:tc>
          <w:tcPr>
            <w:tcW w:w="1830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Quantitativos</w:t>
            </w:r>
          </w:p>
        </w:tc>
        <w:tc>
          <w:tcPr>
            <w:tcW w:w="6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ITEM</w:t>
            </w:r>
          </w:p>
        </w:tc>
        <w:tc>
          <w:tcPr>
            <w:tcW w:w="472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DESCRIÇÃO</w:t>
            </w:r>
          </w:p>
        </w:tc>
        <w:tc>
          <w:tcPr>
            <w:tcW w:w="89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UND</w:t>
            </w:r>
          </w:p>
        </w:tc>
        <w:tc>
          <w:tcPr>
            <w:tcW w:w="98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QTD</w:t>
            </w:r>
          </w:p>
        </w:tc>
      </w:tr>
      <w:tr>
        <w:trPr/>
        <w:tc>
          <w:tcPr>
            <w:tcW w:w="183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1</w:t>
            </w:r>
          </w:p>
        </w:tc>
        <w:tc>
          <w:tcPr>
            <w:tcW w:w="4721" w:type="dxa"/>
            <w:tcBorders/>
            <w:vAlign w:val="center"/>
          </w:tcPr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16"/>
                <w:szCs w:val="20"/>
                <w:lang w:val="pt-BR" w:eastAsia="pt-BR" w:bidi="ar-SA"/>
              </w:rPr>
              <w:t xml:space="preserve">Limpeza, tratamento e conservação de piscina semiolímpica, incluindo todos os insumos necessários.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MENSAL SERVIÇO</w:t>
            </w:r>
          </w:p>
        </w:tc>
        <w:tc>
          <w:tcPr>
            <w:tcW w:w="989" w:type="dxa"/>
            <w:tcBorders/>
            <w:vAlign w:val="center"/>
          </w:tcPr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12 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7266"/>
      </w:tblGrid>
      <w:tr>
        <w:trPr>
          <w:trHeight w:val="397" w:hRule="atLeast"/>
        </w:trPr>
        <w:tc>
          <w:tcPr>
            <w:tcW w:w="906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V - LEVANTAMENTO DE MERCADO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Onde foram pesquisadas as possíveis soluções?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 )  Contratações similares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 )  Internet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 )  Audiência pública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x  )  Outro. Especificar: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A pesquisa de mercado foi conduzida através de contratações similares, consultas na internet e interações diretas com fornecedores, garantindo uma análise abrangente das opções disponíveis e práticas de mercado.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Justificativa técnica e econômica para a escolha da melhor solução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Heading4"/>
              <w:widowControl/>
              <w:spacing w:before="40" w:after="0"/>
              <w:jc w:val="left"/>
              <w:rPr>
                <w:rFonts w:ascii="Calibri" w:hAnsi="Calibri" w:cs="Calibri" w:asciiTheme="minorHAnsi" w:cstheme="minorHAnsi" w:hAnsiTheme="minorHAnsi"/>
                <w:i w:val="false"/>
                <w:i w:val="false"/>
                <w:iCs w:val="false"/>
                <w:color w:val="auto"/>
                <w:sz w:val="20"/>
              </w:rPr>
            </w:pPr>
            <w:r>
              <w:rPr>
                <w:rStyle w:val="Strong"/>
                <w:rFonts w:cs="Calibri" w:ascii="Calibri" w:hAnsi="Calibri" w:asciiTheme="minorHAnsi" w:cstheme="minorHAnsi" w:hAnsiTheme="minorHAnsi"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>Justificativa Técnica</w:t>
            </w:r>
          </w:p>
          <w:p>
            <w:pPr>
              <w:pStyle w:val="NormalWeb"/>
              <w:widowControl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/>
              <w:t xml:space="preserve">A solução de terceirização do serviço de manutenção de piscinas é tecnicamente justificada pela necessidade de mão de obra especializada e equipamentos específicos, conforme normas da ABNT NBR 10339, assegurando a qualidade e segurança do espaço aquático.</w:t>
            </w:r>
          </w:p>
          <w:p>
            <w:pPr>
              <w:pStyle w:val="Heading4"/>
              <w:widowControl/>
              <w:jc w:val="left"/>
              <w:rPr>
                <w:rFonts w:ascii="Calibri" w:hAnsi="Calibri" w:cs="Calibri" w:asciiTheme="minorHAnsi" w:cstheme="minorHAnsi" w:hAnsiTheme="minorHAnsi"/>
                <w:i w:val="false"/>
                <w:i w:val="false"/>
                <w:iCs w:val="false"/>
                <w:color w:val="auto"/>
                <w:sz w:val="20"/>
              </w:rPr>
            </w:pPr>
            <w:r>
              <w:rPr>
                <w:rStyle w:val="Strong"/>
                <w:rFonts w:cs="Calibri" w:ascii="Calibri" w:hAnsi="Calibri" w:asciiTheme="minorHAnsi" w:cstheme="minorHAnsi" w:hAnsiTheme="minorHAnsi"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>Justificativa Econômica</w:t>
            </w:r>
          </w:p>
          <w:p>
            <w:pPr>
              <w:pStyle w:val="NormalWeb"/>
              <w:widowControl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pt-BR" w:eastAsia="pt-BR" w:bidi="ar-SA"/>
              </w:rPr>
              <w:t xml:space="preserve">A análise econômica demonstra que a terceirização oferece melhor custo-benefício, eliminando a necessidade de aquisição de equipamentos caros e insumos químicos, além de garantir previsibilidade orçamentária e eficiência operacional.</w:t>
            </w:r>
            <w:r>
              <w:rPr/>
              <w:t/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color w:val="FF0000"/>
                <w:sz w:val="20"/>
              </w:rPr>
            </w:pPr>
            <w:r>
              <w:rPr>
                <w:rFonts w:cs="Calibri" w:cstheme="minorHAnsi"/>
                <w:color w:val="FF0000"/>
                <w:sz w:val="20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/>
                <w:sz w:val="20"/>
              </w:rPr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restrição de fornecedores?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x ) 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)  Não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Será dispensada a aplicação de tratamento diferenciado e simplificado para as microempresas e empresas de pequeno porte, previsto na Lei Complementar 123/2006?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x  ) 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 Não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positivo, justificar: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O tratamento diferenciado para ME/EPP não será dispensado, permitindo que essas empresas participem do processo licitatório, promovendo a competitividade e potencialmente gerando benefícios econômicos locais.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7266"/>
      </w:tblGrid>
      <w:tr>
        <w:trPr>
          <w:trHeight w:val="397" w:hRule="atLeast"/>
        </w:trPr>
        <w:tc>
          <w:tcPr>
            <w:tcW w:w="906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VI - ESTIMATIVA DO VALOR DA CONTRATAÇÃO (OBRIGATÓRIO)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Meios usados na pesquisa: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 )   Sites oficiais de Governo/Painel de preços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 )   Contratações similares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 )   Tabelas de Referência aprovadas por Órgãos oficiais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 )   Sítios eletrônicos especializados ou de domínio amplo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 )   Fornecedores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b/>
                <w:bCs/>
                <w:color w:val="FF0000"/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x  )   Outro. Especificar: A pesquisa de preços foi realizada com base em contratações similares, sites oficiais de governo e fornecedores. Foram utilizados critérios de comparação de preços de serviços de manutenção de piscinas, considerando a frequência de manutenção e os insumos necessários, garantindo a análise de mercado fornecedor.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Estimativa do valor: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R$ 129.933,94</w:t>
            </w:r>
            <w:r>
              <w:rPr>
                <w:sz w:val="22"/>
              </w:rPr>
              <w:t/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4691"/>
        <w:gridCol w:w="2576"/>
      </w:tblGrid>
      <w:tr>
        <w:trPr>
          <w:trHeight w:val="397" w:hRule="atLeast"/>
        </w:trPr>
        <w:tc>
          <w:tcPr>
            <w:tcW w:w="9070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VII - DESCRIÇÃO DA SOLUÇÃO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O que será contratado?</w:t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A contratação abrange serviços de limpeza, tratamento, manutenção e conservação de uma piscina semiolímpica, incluindo todos os insumos necessários. O escopo inclui ações preventivas e corretivas, com frequência de seis vezes por semana, para garantir a qualidade da água e a segurança dos usuários, conforme as normas da NBR 10339.</w:t>
            </w:r>
            <w:r>
              <w:rPr>
                <w:sz w:val="22"/>
              </w:rPr>
              <w:t/>
            </w:r>
          </w:p>
        </w:tc>
      </w:tr>
      <w:tr>
        <w:trPr/>
        <w:tc>
          <w:tcPr>
            <w:tcW w:w="1803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Qual o prazo da garantia do objeto?</w:t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 Não há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 )  90 dias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 12 meses</w:t>
            </w:r>
          </w:p>
        </w:tc>
      </w:tr>
      <w:tr>
        <w:trPr/>
        <w:tc>
          <w:tcPr>
            <w:tcW w:w="1803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69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x  )   Outro:</w:t>
            </w:r>
          </w:p>
        </w:tc>
        <w:tc>
          <w:tcPr>
            <w:tcW w:w="257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 )  dias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3   )  meses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 )   anos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necessidade de assistência técnica?</w:t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x  )  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  Não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afirmativo, justificar: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Não há necessidade de assistência técnica específica, pois a contratação é para serviços contínuos de manutenção e não para equipamentos que requerem suporte técnico adicional.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necessidade de manutenção?</w:t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x  )    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 )     Não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afirmativo, descrever a solução: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color w:val="auto"/>
                <w:sz w:val="20"/>
              </w:rPr>
            </w:pP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 xml:space="preserve">Os serviços de manutenção incluem limpeza regular e tratamento químico da piscina, com cronograma de seis vezes por semana. As condições exigem mão de obra especializada e fornecimento de todos os materiais necessários, garantindo a continuidade e qualidade do serviço.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1541"/>
        <w:gridCol w:w="5726"/>
      </w:tblGrid>
      <w:tr>
        <w:trPr>
          <w:trHeight w:val="397" w:hRule="atLeast"/>
        </w:trPr>
        <w:tc>
          <w:tcPr>
            <w:tcW w:w="9070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VIII - JUSTIFICATIVA PARA O PARCELAMENTO OU NÃO DA SOLUÇÃO (OBRIGATÓRIO)</w:t>
            </w:r>
          </w:p>
        </w:tc>
      </w:tr>
      <w:tr>
        <w:trPr/>
        <w:tc>
          <w:tcPr>
            <w:tcW w:w="1803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A solução será dividida em itens?</w:t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 )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afirmativo, foi avaliado se o parcelamento é técnica e economicamente viável e não representa perda de economia de escala.</w:t>
            </w:r>
          </w:p>
        </w:tc>
      </w:tr>
      <w:tr>
        <w:trPr>
          <w:trHeight w:val="1296" w:hRule="atLeast"/>
        </w:trPr>
        <w:tc>
          <w:tcPr>
            <w:tcW w:w="1803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4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x  ) Não. Por quê?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7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Justificar: </w:t>
            </w:r>
            <w:r>
              <w:rPr>
                <w:rFonts w:eastAsia="Calibri" w:cs="Calibri"/>
                <w:color w:val="000000"/>
                <w:kern w:val="0"/>
                <w:sz w:val="22"/>
                <w:szCs w:val="20"/>
                <w:lang w:val="pt-BR" w:eastAsia="pt-BR" w:bidi="ar-SA"/>
              </w:rPr>
              <w:t xml:space="preserve">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Não há possibilidade de parcelamento, pois o processo possui apenas um item e a natureza contínua do serviço não permite divisão sem perda de economia de escala.</w:t>
            </w:r>
            <w:r>
              <w:rPr>
                <w:sz w:val="22"/>
              </w:rPr>
              <w:t/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7266"/>
      </w:tblGrid>
      <w:tr>
        <w:trPr>
          <w:trHeight w:val="397" w:hRule="atLeast"/>
        </w:trPr>
        <w:tc>
          <w:tcPr>
            <w:tcW w:w="906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IX - RESULTADOS PRETENDIDOS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Quais os benefícios pretendidos na contratação?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 ) Manutenção do funcionamento administrativo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 ) Redução de custos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 ) Aproveitamento de recursos humanos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 ) Redução dos riscos do trabalho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 ) Ganho de eficiência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Melhoria na qualidade de produtos e serviços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Realização de política pública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x  ) Outro, indicar o benefício:  A contratação visa garantir a manutenção preventiva e corretiva da piscina semiolímpica, assegurando a qualidade sanitária da água e a continuidade das atividades do Programa Educacional Bombeiro Mirim. Espera-se melhorias na segurança e higiene do espaço aquático, além de contribuir para o desenvolvimento educacional e social dos participantes.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b/>
                <w:bCs/>
                <w:color w:val="auto"/>
                <w:sz w:val="20"/>
              </w:rPr>
            </w:pPr>
            <w:r>
              <w:rPr>
                <w:b/>
                <w:bCs/>
                <w:color w:val="auto"/>
                <w:sz w:val="20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color w:val="auto"/>
                <w:sz w:val="20"/>
              </w:rPr>
            </w:pPr>
            <w:r>
              <w:rPr>
                <w:rFonts w:eastAsia="Calibri" w:cs="Calibri"/>
                <w:b/>
                <w:bCs/>
                <w:color w:val="auto"/>
                <w:kern w:val="0"/>
                <w:sz w:val="20"/>
                <w:szCs w:val="20"/>
                <w:lang w:val="pt-BR" w:eastAsia="pt-BR" w:bidi="ar-SA"/>
              </w:rPr>
              <w:t>Nota explicativa:</w:t>
            </w: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 xml:space="preserve">  </w:t>
            </w:r>
            <w:r>
              <w:rPr>
                <w:rFonts w:eastAsia="Calibri" w:cs="Calibri"/>
                <w:color w:val="auto"/>
                <w:kern w:val="0"/>
                <w:sz w:val="22"/>
                <w:szCs w:val="20"/>
                <w:lang w:val="pt-BR" w:eastAsia="pt-BR" w:bidi="ar-SA"/>
              </w:rPr>
              <w:t xml:space="preserve"> </w:t>
            </w: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 xml:space="preserve">A contratação permitirá a realização de ações preventivas e corretivas para manter a qualidade da água da piscina, essencial para a segurança e saúde dos usuários. A eficiência do serviço contratado é garantida pela especialização da empresa, que fornecerá mão de obra qualificada e insumos adequados, atendendo às normas técnicas vigentes.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1288"/>
        <w:gridCol w:w="5979"/>
      </w:tblGrid>
      <w:tr>
        <w:trPr>
          <w:trHeight w:val="397" w:hRule="atLeast"/>
        </w:trPr>
        <w:tc>
          <w:tcPr>
            <w:tcW w:w="9070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X - </w:t>
            </w: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PROVIDÊNCIAS A SEREM ADOTADAS PELA ADMINISTRAÇÃO PREVIAMENTE À CELEBRAÇÃO DO CONTRATO</w:t>
            </w:r>
          </w:p>
        </w:tc>
      </w:tr>
      <w:tr>
        <w:trPr/>
        <w:tc>
          <w:tcPr>
            <w:tcW w:w="1803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providências pendentes para o sucesso da contratação?</w:t>
            </w:r>
          </w:p>
        </w:tc>
        <w:tc>
          <w:tcPr>
            <w:tcW w:w="1288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x  ) Sim</w:t>
            </w:r>
          </w:p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Especificar: Não há providências pendentes para o sucesso da contratação. A gestão contratual e a fiscalização já possuem requisitos e responsabilidades definidos, assegurando o acompanhamento adequado da execução dos serviços.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803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 Não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Indicar os requisitos para a gestão contratual</w:t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0"/>
                <w:lang w:val="pt-BR" w:eastAsia="pt-BR" w:bidi="ar-SA"/>
              </w:rPr>
              <w:t xml:space="preserve">A gestão contratual será realizada por servidor designado, responsável por acompanhar a execução administrativa e financeira do contrato. A fiscalização será feita por servidores da unidade beneficiada, que verificarão a conformidade dos serviços e a presença de equipe qualificada, garantindo a qualidade e segurança das operações.</w:t>
            </w:r>
            <w:r>
              <w:rPr>
                <w:sz w:val="22"/>
              </w:rPr>
              <w:t/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Indicar os requisitos para fiscalização do contrato</w:t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A gestão contratual será realizada por servidor designado, responsável por acompanhar a execução administrativa e financeira do contrato. A fiscalização será feita por servidores da unidade beneficiada, que verificarão a conformidade dos serviços e a presença de equipe qualificada, garantindo a qualidade e segurança das operações.</w:t>
            </w:r>
            <w:r>
              <w:rPr>
                <w:sz w:val="22"/>
              </w:rPr>
              <w:t/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7266"/>
      </w:tblGrid>
      <w:tr>
        <w:trPr>
          <w:trHeight w:val="397" w:hRule="atLeast"/>
        </w:trPr>
        <w:tc>
          <w:tcPr>
            <w:tcW w:w="906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XI - CONTRATAÇÕES CORRELATAS OU INTERDEPENDENTES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contratações correlatas ou interdependentes?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x )  Sim.</w:t>
            </w:r>
          </w:p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 Não.</w:t>
            </w:r>
          </w:p>
          <w:p>
            <w:pPr>
              <w:pStyle w:val="Normal"/>
              <w:widowControl/>
              <w:spacing w:before="120" w:after="120"/>
              <w:contextualSpacing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Em caso afirmativo, indicar: Não foram identificadas contratações correlatas ou interdependentes. A contratação atual é autônoma e focada exclusivamente na manutenção e conservação da piscina do CBMTO, sem impacto direto em outras contratações.</w:t>
            </w:r>
          </w:p>
          <w:p>
            <w:pPr>
              <w:pStyle w:val="Normal"/>
              <w:widowControl/>
              <w:spacing w:before="120" w:after="12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7266"/>
      </w:tblGrid>
      <w:tr>
        <w:trPr>
          <w:trHeight w:val="397" w:hRule="atLeast"/>
        </w:trPr>
        <w:tc>
          <w:tcPr>
            <w:tcW w:w="906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XII - IMPACTOS AMBIENTAIS E MEDIDAS DE MITIGAÇÃO</w:t>
            </w:r>
          </w:p>
        </w:tc>
      </w:tr>
      <w:tr>
        <w:trPr/>
        <w:tc>
          <w:tcPr>
            <w:tcW w:w="1803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previsão de impacto ambiental na contratação, incluídos requisitos de baixo consumo de energia e de outros recursos, bem como logística reversa para desfazimento e reciclagem de bens e refugos, quando aplicável?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Sim</w:t>
            </w:r>
          </w:p>
          <w:p>
            <w:pPr>
              <w:pStyle w:val="Normal"/>
              <w:widowControl w:val="false"/>
              <w:spacing w:before="120" w:after="120"/>
              <w:contextualSpacing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Especificar os impactos:  </w:t>
            </w:r>
          </w:p>
          <w:p>
            <w:pPr>
              <w:pStyle w:val="Normal"/>
              <w:widowControl w:val="false"/>
              <w:spacing w:before="120" w:after="12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803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x  )  Não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7266"/>
      </w:tblGrid>
      <w:tr>
        <w:trPr>
          <w:trHeight w:val="397" w:hRule="atLeast"/>
        </w:trPr>
        <w:tc>
          <w:tcPr>
            <w:tcW w:w="906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XIII -</w:t>
            </w: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POSICIONAMENTO CONCLUSIVO SOBRE A ADEQUAÇÃO DA CONTRATAÇÃO PARA O ATENDIMENTO DA NECESSIDADE A QUE SE DESTINA. 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(OBRIGATÓRIO)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A contratação possui viabilidade técnica, socioeconômica e ambiental?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x  )  Sim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 Não</w:t>
            </w:r>
          </w:p>
        </w:tc>
      </w:tr>
      <w:tr>
        <w:trPr/>
        <w:tc>
          <w:tcPr>
            <w:tcW w:w="9069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POSICIONAMENTO CONCLUSIVO:</w:t>
            </w:r>
          </w:p>
          <w:p>
            <w:pPr>
              <w:pStyle w:val="Normal"/>
              <w:widowControl w:val="false"/>
              <w:spacing w:before="120" w:after="120"/>
              <w:jc w:val="both"/>
              <w:rPr>
                <w:bCs/>
                <w:sz w:val="20"/>
              </w:rPr>
            </w:pPr>
            <w:r>
              <w:rPr>
                <w:rFonts w:eastAsia="Calibri" w:cs="Calibri"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A contratação apresenta viabilidade técnica, econômica e ambiental, atendendo adequadamente à necessidade identificada e contribuindo para o cumprimento dos objetivos institucionais</w:t>
            </w:r>
          </w:p>
        </w:tc>
      </w:tr>
    </w:tbl>
    <w:p>
      <w:pPr>
        <w:pStyle w:val="Normal"/>
        <w:rPr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rPr>
          <w:b/>
          <w:bCs/>
          <w:sz w:val="20"/>
        </w:rPr>
      </w:pPr>
      <w:r>
        <w:rPr>
          <w:b/>
          <w:sz w:val="20"/>
        </w:rPr>
        <w:t>EQUIPE DE PLANEJAMENTO RESPONSÁVEL PELA ELABORAÇÃO DO ETP:</w:t>
      </w:r>
    </w:p>
    <w:p>
      <w:pPr>
        <w:pStyle w:val="Normal"/>
        <w:jc w:val="right"/>
        <w:rPr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jc w:val="right"/>
        <w:rPr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jc w:val="right"/>
        <w:rPr>
          <w:bCs/>
          <w:sz w:val="20"/>
        </w:rPr>
      </w:pPr>
      <w:r>
        <w:rPr>
          <w:bCs/>
          <w:sz w:val="20"/>
        </w:rPr>
      </w:r>
    </w:p>
    <w:p>
      <w:pPr>
        <w:pStyle w:val="Normal"/>
        <w:jc w:val="right"/>
        <w:rPr>
          <w:bCs/>
          <w:sz w:val="20"/>
        </w:rPr>
      </w:pPr>
      <w:r>
        <w:rPr>
          <w:bCs/>
          <w:sz w:val="20"/>
        </w:rPr>
      </w:r>
    </w:p>
    <w:p>
      <w:pPr>
        <w:pStyle w:val="Normal"/>
        <w:jc w:val="right"/>
        <w:rPr>
          <w:bCs/>
          <w:sz w:val="20"/>
        </w:rPr>
      </w:pPr>
      <w:r>
        <w:rPr>
          <w:bCs/>
          <w:sz w:val="20"/>
        </w:rPr>
      </w:r>
    </w:p>
    <w:tbl>
      <w:tblPr>
        <w:tblStyle w:val="Tabelacomgrade"/>
        <w:tblW w:w="92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07"/>
        <w:gridCol w:w="4878"/>
      </w:tblGrid>
      <w:tr>
        <w:trPr/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sz w:val="20"/>
              </w:rPr>
            </w:pPr>
            <w:r>
              <w:rPr>
                <w:rFonts w:eastAsia="Calibri" w:cs="Calibri"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(assinatura eletrônica)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Cs/>
                <w:sz w:val="20"/>
              </w:rPr>
            </w:pPr>
            <w:r>
              <w:rPr>
                <w:rFonts w:eastAsia="Calibri" w:cs="Calibri"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VÍTOR HUGO DA SILVA BRITO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Cs/>
                <w:sz w:val="20"/>
              </w:rPr>
            </w:pPr>
            <w:r>
              <w:rPr>
                <w:rFonts w:eastAsia="Calibri" w:cs="Calibri"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Auxiliar de Compras</w:t>
            </w:r>
          </w:p>
        </w:tc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sz w:val="20"/>
              </w:rPr>
            </w:pPr>
            <w:r>
              <w:rPr>
                <w:rFonts w:eastAsia="Calibri" w:cs="Calibri"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(assinatura eletrônica)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Cs/>
                <w:sz w:val="20"/>
              </w:rPr>
            </w:pPr>
            <w:r>
              <w:rPr>
                <w:rFonts w:eastAsia="Calibri" w:cs="Calibri"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BRUNO BARBOSA CAVALCANTE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Cs/>
                <w:sz w:val="20"/>
              </w:rPr>
            </w:pPr>
            <w:r>
              <w:rPr>
                <w:rFonts w:eastAsia="Calibri" w:cs="Calibri"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Auxiliar de Compras</w:t>
            </w:r>
          </w:p>
        </w:tc>
      </w:tr>
    </w:tbl>
    <w:p>
      <w:pPr>
        <w:pStyle w:val="Normal"/>
        <w:jc w:val="center"/>
        <w:rPr>
          <w:bCs/>
          <w:sz w:val="20"/>
        </w:rPr>
      </w:pPr>
      <w:r>
        <w:rPr>
          <w:bCs/>
          <w:sz w:val="20"/>
        </w:rPr>
      </w:r>
    </w:p>
    <w:p>
      <w:pPr>
        <w:pStyle w:val="Normal"/>
        <w:jc w:val="center"/>
        <w:rPr>
          <w:bCs/>
          <w:sz w:val="20"/>
        </w:rPr>
      </w:pPr>
      <w:r>
        <w:rPr>
          <w:bCs/>
          <w:sz w:val="20"/>
        </w:rPr>
      </w:r>
    </w:p>
    <w:p>
      <w:pPr>
        <w:pStyle w:val="Normal"/>
        <w:ind w:firstLine="1134"/>
        <w:jc w:val="both"/>
        <w:rPr>
          <w:bCs/>
          <w:i/>
          <w:i/>
          <w:iCs/>
          <w:sz w:val="20"/>
        </w:rPr>
      </w:pPr>
      <w:r>
        <w:rPr>
          <w:bCs/>
          <w:i/>
          <w:iCs/>
          <w:sz w:val="20"/>
        </w:rPr>
        <w:t>Aprovo, observados os aspectos legais, formais e éticos, nos termos do Decreto nº 6.606/2023, que regulamenta a Lei Federal nº 14.133/2021 no âmbito da Administração Pública Estadual do Tocantins.</w:t>
      </w:r>
    </w:p>
    <w:p>
      <w:pPr>
        <w:pStyle w:val="Normal"/>
        <w:rPr>
          <w:bCs/>
          <w:sz w:val="20"/>
        </w:rPr>
      </w:pPr>
      <w:r>
        <w:rPr>
          <w:bCs/>
          <w:sz w:val="20"/>
        </w:rPr>
      </w:r>
    </w:p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ListParagraph"/>
        <w:shd w:val="clear" w:color="auto" w:fill="BFBFBF" w:themeFill="background1" w:themeFillShade="bf"/>
        <w:spacing w:before="0" w:after="0"/>
        <w:ind w:left="0"/>
        <w:contextualSpacing/>
        <w:jc w:val="center"/>
        <w:rPr>
          <w:rFonts w:ascii="Arial" w:hAnsi="Arial" w:eastAsia="Calibri" w:cs="Arial" w:eastAsiaTheme="minorHAnsi"/>
          <w:b/>
          <w:color w:val="auto"/>
          <w:szCs w:val="22"/>
          <w:lang w:eastAsia="en-US"/>
        </w:rPr>
      </w:pPr>
      <w:r>
        <w:rPr>
          <w:rFonts w:eastAsia="Calibri" w:cs="Arial" w:ascii="Arial" w:hAnsi="Arial" w:eastAsiaTheme="minorHAnsi"/>
          <w:b/>
          <w:color w:val="auto"/>
          <w:szCs w:val="22"/>
          <w:lang w:eastAsia="en-US"/>
        </w:rPr>
        <w:t>APROVAÇÃO DO ORDENADOR DE DESPESA</w:t>
      </w:r>
    </w:p>
    <w:p>
      <w:pPr>
        <w:pStyle w:val="Normal"/>
        <w:spacing w:lineRule="auto" w:line="360"/>
        <w:jc w:val="both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Normal1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Normal"/>
        <w:jc w:val="center"/>
        <w:rPr>
          <w:rFonts w:ascii="Arial" w:hAnsi="Arial" w:cs="Arial"/>
          <w:b/>
          <w:i/>
          <w:i/>
          <w:sz w:val="18"/>
          <w:szCs w:val="18"/>
        </w:rPr>
      </w:pPr>
      <w:r>
        <w:rPr>
          <w:rFonts w:cs="Arial" w:ascii="Arial" w:hAnsi="Arial"/>
          <w:b/>
          <w:i/>
          <w:sz w:val="18"/>
          <w:szCs w:val="18"/>
          <w:highlight w:val="lightGray"/>
        </w:rPr>
        <w:t>(Assinado digitalmente)</w:t>
      </w:r>
    </w:p>
    <w:p>
      <w:pPr>
        <w:pStyle w:val="Normal"/>
        <w:widowControl w:val="false"/>
        <w:numPr>
          <w:ilvl w:val="0"/>
          <w:numId w:val="0"/>
        </w:numPr>
        <w:spacing w:before="3" w:after="0"/>
        <w:ind w:hanging="0" w:left="1858" w:right="1878"/>
        <w:jc w:val="center"/>
        <w:outlineLvl w:val="0"/>
        <w:rPr>
          <w:rFonts w:ascii="Arial" w:hAnsi="Arial" w:eastAsia="Arial" w:cs="Arial"/>
          <w:b/>
          <w:bCs/>
          <w:lang w:val="pt-PT" w:eastAsia="en-US"/>
        </w:rPr>
      </w:pPr>
      <w:r>
        <w:rPr>
          <w:rFonts w:eastAsia="Arial" w:cs="Arial" w:ascii="Arial" w:hAnsi="Arial"/>
          <w:b/>
          <w:bCs/>
          <w:lang w:val="pt-PT" w:eastAsia="en-US"/>
        </w:rPr>
        <w:t xml:space="preserve">PETERSON QUEIROZ DE ORNELAS </w:t>
      </w:r>
      <w:r>
        <w:rPr>
          <w:rFonts w:cs="Arial" w:ascii="Arial" w:hAnsi="Arial"/>
          <w:b/>
        </w:rPr>
        <w:t>- CEL QOBM</w:t>
      </w:r>
    </w:p>
    <w:p>
      <w:pPr>
        <w:pStyle w:val="Normal"/>
        <w:widowControl w:val="false"/>
        <w:ind w:left="1858" w:right="1878"/>
        <w:jc w:val="center"/>
        <w:rPr>
          <w:rFonts w:ascii="Arial" w:hAnsi="Arial" w:eastAsia="Arial MT" w:cs="Arial"/>
          <w:lang w:val="pt-PT" w:eastAsia="en-US"/>
        </w:rPr>
      </w:pPr>
      <w:r>
        <w:rPr>
          <w:rFonts w:eastAsia="Arial MT" w:cs="Arial" w:ascii="Arial" w:hAnsi="Arial"/>
          <w:lang w:val="pt-PT" w:eastAsia="en-US"/>
        </w:rPr>
        <w:t>Comandante-Geral – Secretário de Estado</w:t>
      </w:r>
    </w:p>
    <w:p>
      <w:pPr>
        <w:pStyle w:val="Normal"/>
        <w:widowControl w:val="false"/>
        <w:jc w:val="center"/>
        <w:rPr>
          <w:rFonts w:ascii="Arial" w:hAnsi="Arial" w:eastAsia="Arial MT" w:cs="Arial"/>
          <w:lang w:val="pt-PT" w:eastAsia="en-US"/>
        </w:rPr>
      </w:pPr>
      <w:r>
        <w:rPr>
          <w:rFonts w:eastAsia="Arial MT" w:cs="Arial" w:ascii="Arial" w:hAnsi="Arial"/>
          <w:lang w:val="pt-PT" w:eastAsia="en-US"/>
        </w:rPr>
        <w:t>Coordenador Estadual de Defesa Civil</w:t>
      </w:r>
    </w:p>
    <w:p>
      <w:pPr>
        <w:pStyle w:val="Normal"/>
        <w:widowControl w:val="false"/>
        <w:jc w:val="center"/>
        <w:rPr>
          <w:rFonts w:ascii="Arial" w:hAnsi="Arial" w:eastAsia="Arial MT" w:cs="Arial"/>
          <w:lang w:val="pt-PT" w:eastAsia="en-US"/>
        </w:rPr>
      </w:pPr>
      <w:r>
        <w:rPr>
          <w:rFonts w:eastAsia="Arial MT" w:cs="Arial" w:ascii="Arial" w:hAnsi="Arial"/>
          <w:lang w:val="pt-PT" w:eastAsia="en-US"/>
        </w:rPr>
      </w:r>
    </w:p>
    <w:p>
      <w:pPr>
        <w:pStyle w:val="NormalWeb"/>
        <w:shd w:val="clear" w:color="auto" w:fill="FFFFFF"/>
        <w:spacing w:lineRule="atLeast" w:line="288" w:before="0" w:after="0"/>
        <w:ind w:right="33"/>
        <w:jc w:val="right"/>
        <w:rPr>
          <w:rFonts w:ascii="Arial" w:hAnsi="Arial" w:cs="Arial"/>
          <w:color w:val="222222"/>
          <w:sz w:val="22"/>
          <w:szCs w:val="22"/>
        </w:rPr>
      </w:pPr>
      <w:r>
        <w:rPr>
          <w:rFonts w:cs="Arial" w:ascii="Arial" w:hAnsi="Arial"/>
          <w:color w:val="222222"/>
          <w:sz w:val="22"/>
          <w:szCs w:val="22"/>
        </w:rPr>
      </w:r>
    </w:p>
    <w:p>
      <w:pPr>
        <w:pStyle w:val="NormalWeb"/>
        <w:shd w:val="clear" w:color="auto" w:fill="FFFFFF"/>
        <w:spacing w:lineRule="atLeast" w:line="288" w:before="0" w:after="0"/>
        <w:ind w:right="33"/>
        <w:jc w:val="right"/>
        <w:rPr>
          <w:rFonts w:ascii="Arial" w:hAnsi="Arial" w:cs="Arial"/>
          <w:color w:val="222222"/>
          <w:sz w:val="22"/>
          <w:szCs w:val="22"/>
        </w:rPr>
      </w:pPr>
      <w:r>
        <w:rPr>
          <w:rFonts w:cs="Arial" w:ascii="Arial" w:hAnsi="Arial"/>
          <w:color w:val="222222"/>
          <w:sz w:val="22"/>
          <w:szCs w:val="22"/>
        </w:rPr>
      </w:r>
    </w:p>
    <w:p>
      <w:pPr>
        <w:pStyle w:val="NormalWeb"/>
        <w:shd w:val="clear" w:color="auto" w:fill="FFFFFF"/>
        <w:spacing w:lineRule="atLeast" w:line="288" w:before="0" w:after="0"/>
        <w:ind w:right="33"/>
        <w:jc w:val="right"/>
        <w:rPr>
          <w:rFonts w:ascii="Arial" w:hAnsi="Arial" w:cs="Arial"/>
          <w:szCs w:val="22"/>
        </w:rPr>
      </w:pPr>
      <w:r>
        <w:rPr>
          <w:rFonts w:cs="Arial" w:ascii="Arial" w:hAnsi="Arial"/>
          <w:color w:val="222222"/>
          <w:sz w:val="22"/>
          <w:szCs w:val="22"/>
        </w:rPr>
        <w:t>Palmas – TO, 10 de julho de 2025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8" w:right="1418" w:gutter="0" w:header="851" w:top="2155" w:footer="851" w:bottom="1418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swiss"/>
    <w:pitch w:val="variable"/>
  </w:font>
  <w:font w:name="Tahoma">
    <w:charset w:val="00"/>
    <w:family w:val="swiss"/>
    <w:pitch w:val="variable"/>
  </w:font>
  <w:font w:name="Liberation Mono">
    <w:altName w:val="Courier New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Normal1"/>
      <w:keepNext w:val="true"/>
      <w:tabs>
        <w:tab w:val="clear" w:pos="709"/>
        <w:tab w:val="left" w:pos="708" w:leader="none"/>
      </w:tabs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Normal1"/>
      <w:keepNext w:val="true"/>
      <w:tabs>
        <w:tab w:val="clear" w:pos="709"/>
        <w:tab w:val="left" w:pos="708" w:leader="none"/>
      </w:tabs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/>
        <w:sz w:val="18"/>
        <w:szCs w:val="18"/>
      </w:rPr>
    </w:pPr>
    <w:r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-3810</wp:posOffset>
          </wp:positionH>
          <wp:positionV relativeFrom="paragraph">
            <wp:posOffset>-19050</wp:posOffset>
          </wp:positionV>
          <wp:extent cx="742950" cy="742950"/>
          <wp:effectExtent l="0" t="0" r="0" b="0"/>
          <wp:wrapNone/>
          <wp:docPr id="1" name="Imagem 3" descr="bm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" descr="bm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70075" b="0"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7">
          <wp:simplePos x="0" y="0"/>
          <wp:positionH relativeFrom="column">
            <wp:posOffset>910590</wp:posOffset>
          </wp:positionH>
          <wp:positionV relativeFrom="paragraph">
            <wp:posOffset>-19050</wp:posOffset>
          </wp:positionV>
          <wp:extent cx="1790700" cy="742950"/>
          <wp:effectExtent l="0" t="0" r="0" b="0"/>
          <wp:wrapNone/>
          <wp:docPr id="2" name="Imagem 4" descr="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4" descr="to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18"/>
        <w:szCs w:val="18"/>
      </w:rPr>
      <w:t>QUARTEL DO COMANDO GERAL</w:t>
    </w:r>
  </w:p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/>
        <w:sz w:val="18"/>
        <w:szCs w:val="18"/>
      </w:rPr>
    </w:pPr>
    <w:r>
      <w:rPr>
        <w:b/>
        <w:sz w:val="18"/>
        <w:szCs w:val="18"/>
      </w:rPr>
      <w:t>DIRETORIA DE LOGÍSTICA E PATRIMÔNIO</w:t>
    </w:r>
  </w:p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Cs/>
        <w:sz w:val="18"/>
        <w:szCs w:val="18"/>
      </w:rPr>
    </w:pPr>
    <w:r>
      <w:rPr>
        <w:bCs/>
        <w:sz w:val="18"/>
        <w:szCs w:val="18"/>
      </w:rPr>
      <w:t>403 Sul, Avenida LO-09 com Avenida NS-05, nº 01 Palmas-TO, CEP: 77.015-560 Fone (63) 3218-4723</w:t>
    </w:r>
  </w:p>
  <w:p>
    <w:pPr>
      <w:pStyle w:val="Normal"/>
      <w:tabs>
        <w:tab w:val="clear" w:pos="709"/>
        <w:tab w:val="left" w:pos="1134" w:leader="none"/>
        <w:tab w:val="left" w:pos="4253" w:leader="none"/>
      </w:tabs>
      <w:ind w:left="5103"/>
      <w:rPr>
        <w:rStyle w:val="Hyperlink"/>
        <w:bCs/>
        <w:sz w:val="18"/>
        <w:szCs w:val="18"/>
      </w:rPr>
    </w:pPr>
    <w:hyperlink r:id="rId3">
      <w:r>
        <w:rPr>
          <w:rStyle w:val="Hyperlink"/>
          <w:sz w:val="18"/>
          <w:szCs w:val="18"/>
        </w:rPr>
        <w:t>compras@bombeiros.to.gov.br</w:t>
      </w:r>
    </w:hyperlink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/>
        <w:sz w:val="18"/>
        <w:szCs w:val="18"/>
      </w:rPr>
    </w:pPr>
    <w:r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-3810</wp:posOffset>
          </wp:positionH>
          <wp:positionV relativeFrom="paragraph">
            <wp:posOffset>-19050</wp:posOffset>
          </wp:positionV>
          <wp:extent cx="742950" cy="742950"/>
          <wp:effectExtent l="0" t="0" r="0" b="0"/>
          <wp:wrapNone/>
          <wp:docPr id="3" name="Imagem 3" descr="bm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bm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70075" b="0"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7">
          <wp:simplePos x="0" y="0"/>
          <wp:positionH relativeFrom="column">
            <wp:posOffset>910590</wp:posOffset>
          </wp:positionH>
          <wp:positionV relativeFrom="paragraph">
            <wp:posOffset>-19050</wp:posOffset>
          </wp:positionV>
          <wp:extent cx="1790700" cy="742950"/>
          <wp:effectExtent l="0" t="0" r="0" b="0"/>
          <wp:wrapNone/>
          <wp:docPr id="4" name="Imagem 4" descr="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to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18"/>
        <w:szCs w:val="18"/>
      </w:rPr>
      <w:t>QUARTEL DO COMANDO GERAL</w:t>
    </w:r>
  </w:p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/>
        <w:sz w:val="18"/>
        <w:szCs w:val="18"/>
      </w:rPr>
    </w:pPr>
    <w:r>
      <w:rPr>
        <w:b/>
        <w:sz w:val="18"/>
        <w:szCs w:val="18"/>
      </w:rPr>
      <w:t>DIRETORIA DE LOGÍSTICA E PATRIMÔNIO</w:t>
    </w:r>
  </w:p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Cs/>
        <w:sz w:val="18"/>
        <w:szCs w:val="18"/>
      </w:rPr>
    </w:pPr>
    <w:r>
      <w:rPr>
        <w:bCs/>
        <w:sz w:val="18"/>
        <w:szCs w:val="18"/>
      </w:rPr>
      <w:t>403 Sul, Avenida LO-09 com Avenida NS-05, nº 01 Palmas-TO, CEP: 77.015-560 Fone (63) 3218-4723</w:t>
    </w:r>
  </w:p>
  <w:p>
    <w:pPr>
      <w:pStyle w:val="Normal"/>
      <w:tabs>
        <w:tab w:val="clear" w:pos="709"/>
        <w:tab w:val="left" w:pos="1134" w:leader="none"/>
        <w:tab w:val="left" w:pos="4253" w:leader="none"/>
      </w:tabs>
      <w:ind w:left="5103"/>
      <w:rPr>
        <w:rStyle w:val="Hyperlink"/>
        <w:bCs/>
        <w:sz w:val="18"/>
        <w:szCs w:val="18"/>
      </w:rPr>
    </w:pPr>
    <w:hyperlink r:id="rId3">
      <w:r>
        <w:rPr>
          <w:rStyle w:val="Hyperlink"/>
          <w:sz w:val="18"/>
          <w:szCs w:val="18"/>
        </w:rPr>
        <w:t>compras@bombeiros.to.gov.br</w:t>
      </w:r>
    </w:hyperlink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425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2a89"/>
    <w:pPr>
      <w:widowControl/>
      <w:suppressAutoHyphens w:val="fals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0"/>
      <w:lang w:val="pt-BR" w:eastAsia="pt-BR" w:bidi="ar-SA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28651d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paragraph" w:styleId="Heading5">
    <w:name w:val="heading 5"/>
    <w:basedOn w:val="Normal"/>
    <w:next w:val="Normal"/>
    <w:qFormat/>
    <w:rsid w:val="00972b43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/>
      <w:iCs/>
      <w:color w:val="auto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qFormat/>
    <w:rsid w:val="00972b43"/>
    <w:rPr/>
  </w:style>
  <w:style w:type="character" w:styleId="RodapChar" w:customStyle="1">
    <w:name w:val="Rodapé Char"/>
    <w:basedOn w:val="DefaultParagraphFont"/>
    <w:qFormat/>
    <w:rsid w:val="00972b43"/>
    <w:rPr/>
  </w:style>
  <w:style w:type="character" w:styleId="TextodebaloChar" w:customStyle="1">
    <w:name w:val="Texto de balão Char"/>
    <w:basedOn w:val="DefaultParagraphFont"/>
    <w:qFormat/>
    <w:rsid w:val="00972b43"/>
    <w:rPr>
      <w:rFonts w:ascii="Tahoma" w:hAnsi="Tahoma" w:eastAsia="Tahoma" w:cs="Tahoma"/>
      <w:sz w:val="16"/>
      <w:szCs w:val="16"/>
    </w:rPr>
  </w:style>
  <w:style w:type="character" w:styleId="apple-converted-space" w:customStyle="1">
    <w:name w:val="apple-converted-space"/>
    <w:basedOn w:val="DefaultParagraphFont"/>
    <w:qFormat/>
    <w:rsid w:val="00972b43"/>
    <w:rPr/>
  </w:style>
  <w:style w:type="character" w:styleId="Ttulo1Char" w:customStyle="1">
    <w:name w:val="Título 1 Char"/>
    <w:basedOn w:val="DefaultParagraphFont"/>
    <w:qFormat/>
    <w:rsid w:val="00972b43"/>
    <w:rPr>
      <w:b/>
      <w:sz w:val="48"/>
    </w:rPr>
  </w:style>
  <w:style w:type="character" w:styleId="Ttulo5Char" w:customStyle="1">
    <w:name w:val="Título 5 Char"/>
    <w:basedOn w:val="DefaultParagraphFont"/>
    <w:qFormat/>
    <w:rsid w:val="00972b43"/>
    <w:rPr>
      <w:rFonts w:ascii="Times New Roman" w:hAnsi="Times New Roman" w:eastAsia="Times New Roman" w:cs="Times New Roman"/>
      <w:b/>
      <w:bCs/>
      <w:i/>
      <w:iCs/>
      <w:color w:val="auto"/>
      <w:sz w:val="26"/>
      <w:szCs w:val="26"/>
    </w:rPr>
  </w:style>
  <w:style w:type="character" w:styleId="CabealhoChar1" w:customStyle="1">
    <w:name w:val="Cabeçalho Char1"/>
    <w:basedOn w:val="DefaultParagraphFont"/>
    <w:qFormat/>
    <w:rsid w:val="00972b43"/>
    <w:rPr/>
  </w:style>
  <w:style w:type="character" w:styleId="RodapChar1" w:customStyle="1">
    <w:name w:val="Rodapé Char1"/>
    <w:basedOn w:val="DefaultParagraphFont"/>
    <w:qFormat/>
    <w:rsid w:val="00972b43"/>
    <w:rPr/>
  </w:style>
  <w:style w:type="character" w:styleId="CitaoChar" w:customStyle="1">
    <w:name w:val="Citação Char"/>
    <w:basedOn w:val="DefaultParagraphFont"/>
    <w:qFormat/>
    <w:rsid w:val="00972b43"/>
    <w:rPr>
      <w:rFonts w:eastAsia="Times New Roman" w:cs="Times New Roman"/>
      <w:i/>
      <w:iCs/>
      <w:color w:val="1F497D"/>
      <w:sz w:val="20"/>
    </w:rPr>
  </w:style>
  <w:style w:type="character" w:styleId="Hyperlink">
    <w:name w:val="Hyperlink"/>
    <w:basedOn w:val="DefaultParagraphFont"/>
    <w:uiPriority w:val="99"/>
    <w:unhideWhenUsed/>
    <w:rsid w:val="00733ed2"/>
    <w:rPr>
      <w:color w:themeColor="hyperlink" w:val="0000FF"/>
      <w:u w:val="single"/>
    </w:rPr>
  </w:style>
  <w:style w:type="character" w:styleId="CorpodetextoChar" w:customStyle="1">
    <w:name w:val="Corpo de texto Char"/>
    <w:basedOn w:val="DefaultParagraphFont"/>
    <w:uiPriority w:val="1"/>
    <w:qFormat/>
    <w:rsid w:val="00600a8a"/>
    <w:rPr>
      <w:color w:val="auto"/>
      <w:sz w:val="20"/>
      <w:lang w:val="pt-PT" w:eastAsia="en-US"/>
    </w:rPr>
  </w:style>
  <w:style w:type="character" w:styleId="Partesuperior-zdoformulrioChar" w:customStyle="1">
    <w:name w:val="Parte superior-z do formulário Char"/>
    <w:basedOn w:val="DefaultParagraphFont"/>
    <w:link w:val="HTMLTopofForm"/>
    <w:uiPriority w:val="99"/>
    <w:semiHidden/>
    <w:qFormat/>
    <w:rsid w:val="003a56e7"/>
    <w:rPr>
      <w:rFonts w:ascii="Arial" w:hAnsi="Arial" w:eastAsia="Times New Roman" w:cs="Arial"/>
      <w:vanish/>
      <w:color w:val="auto"/>
      <w:sz w:val="16"/>
      <w:szCs w:val="16"/>
    </w:rPr>
  </w:style>
  <w:style w:type="character" w:styleId="PargrafodaListaChar" w:customStyle="1">
    <w:name w:val="Parágrafo da Lista Char"/>
    <w:link w:val="ListParagraph"/>
    <w:uiPriority w:val="34"/>
    <w:qFormat/>
    <w:locked/>
    <w:rsid w:val="005b376a"/>
    <w:rPr/>
  </w:style>
  <w:style w:type="character" w:styleId="Strong">
    <w:name w:val="Strong"/>
    <w:basedOn w:val="DefaultParagraphFont"/>
    <w:uiPriority w:val="22"/>
    <w:qFormat/>
    <w:rsid w:val="00bb2d58"/>
    <w:rPr>
      <w:b/>
      <w:bCs/>
    </w:rPr>
  </w:style>
  <w:style w:type="character" w:styleId="cm-highlight-busca" w:customStyle="1">
    <w:name w:val="cm-highlight-busca"/>
    <w:basedOn w:val="DefaultParagraphFont"/>
    <w:qFormat/>
    <w:rsid w:val="003065d8"/>
    <w:rPr/>
  </w:style>
  <w:style w:type="character" w:styleId="Ttulo4Char" w:customStyle="1">
    <w:name w:val="Título 4 Char"/>
    <w:basedOn w:val="DefaultParagraphFont"/>
    <w:uiPriority w:val="9"/>
    <w:semiHidden/>
    <w:qFormat/>
    <w:rsid w:val="0028651d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Cdigo-fonteuser">
    <w:name w:val="Código-fonte (user)"/>
    <w:qFormat/>
    <w:rPr>
      <w:rFonts w:ascii="Liberation Mono" w:hAnsi="Liberation Mono" w:eastAsia="Liberation Mono" w:cs="Liberation Mono"/>
    </w:rPr>
  </w:style>
  <w:style w:type="character" w:styleId="Cdigo-fonte">
    <w:name w:val="Código-fonte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CorpodetextoChar"/>
    <w:uiPriority w:val="1"/>
    <w:qFormat/>
    <w:rsid w:val="00600a8a"/>
    <w:pPr>
      <w:widowControl w:val="false"/>
    </w:pPr>
    <w:rPr>
      <w:color w:val="auto"/>
      <w:sz w:val="20"/>
      <w:lang w:val="pt-PT" w:eastAsia="en-US"/>
    </w:rPr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Ttulo1" w:customStyle="1">
    <w:name w:val="Título1"/>
    <w:basedOn w:val="Normal1"/>
    <w:next w:val="Normal1"/>
    <w:qFormat/>
    <w:rsid w:val="00972b43"/>
    <w:pPr>
      <w:keepNext w:val="true"/>
      <w:keepLines/>
      <w:tabs>
        <w:tab w:val="clear" w:pos="709"/>
        <w:tab w:val="left" w:pos="708" w:leader="none"/>
      </w:tabs>
      <w:spacing w:before="240" w:after="120"/>
    </w:pPr>
    <w:rPr>
      <w:rFonts w:ascii="Arial" w:hAnsi="Arial" w:eastAsia="Arial" w:cs="Arial"/>
      <w:color w:val="00000A"/>
      <w:sz w:val="28"/>
    </w:rPr>
  </w:style>
  <w:style w:type="paragraph" w:styleId="Standard" w:customStyle="1">
    <w:name w:val="Standard"/>
    <w:qFormat/>
    <w:rsid w:val="00972b4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0"/>
      <w:lang w:val="pt-BR" w:eastAsia="pt-BR" w:bidi="ar-SA"/>
    </w:rPr>
  </w:style>
  <w:style w:type="paragraph" w:styleId="Textbody" w:customStyle="1">
    <w:name w:val="Text body"/>
    <w:basedOn w:val="Standard"/>
    <w:qFormat/>
    <w:rsid w:val="00972b43"/>
    <w:pPr>
      <w:spacing w:lineRule="auto" w:line="288" w:before="0" w:after="140"/>
    </w:pPr>
    <w:rPr/>
  </w:style>
  <w:style w:type="paragraph" w:styleId="Ttulo11" w:customStyle="1">
    <w:name w:val="Título 11"/>
    <w:basedOn w:val="Normal1"/>
    <w:next w:val="Normal1"/>
    <w:qFormat/>
    <w:rsid w:val="00972b43"/>
    <w:pPr>
      <w:keepNext w:val="true"/>
      <w:keepLines/>
      <w:spacing w:before="480" w:after="120"/>
      <w:outlineLvl w:val="0"/>
    </w:pPr>
    <w:rPr>
      <w:b/>
      <w:sz w:val="48"/>
    </w:rPr>
  </w:style>
  <w:style w:type="paragraph" w:styleId="Ttulo21" w:customStyle="1">
    <w:name w:val="Título 21"/>
    <w:basedOn w:val="Normal1"/>
    <w:next w:val="Normal1"/>
    <w:qFormat/>
    <w:rsid w:val="00972b43"/>
    <w:pPr>
      <w:keepNext w:val="true"/>
      <w:keepLines/>
      <w:tabs>
        <w:tab w:val="clear" w:pos="709"/>
        <w:tab w:val="left" w:pos="708" w:leader="none"/>
      </w:tabs>
      <w:ind w:hanging="269" w:left="270"/>
      <w:outlineLvl w:val="1"/>
    </w:pPr>
    <w:rPr>
      <w:rFonts w:ascii="Arial" w:hAnsi="Arial" w:eastAsia="Arial" w:cs="Arial"/>
      <w:b/>
      <w:i/>
      <w:color w:val="00000A"/>
      <w:sz w:val="32"/>
    </w:rPr>
  </w:style>
  <w:style w:type="paragraph" w:styleId="Ttulo31" w:customStyle="1">
    <w:name w:val="Título 31"/>
    <w:basedOn w:val="Normal1"/>
    <w:next w:val="Normal1"/>
    <w:qFormat/>
    <w:rsid w:val="00972b43"/>
    <w:pPr>
      <w:keepNext w:val="true"/>
      <w:keepLines/>
      <w:spacing w:before="280" w:after="80"/>
      <w:outlineLvl w:val="2"/>
    </w:pPr>
    <w:rPr>
      <w:b/>
      <w:sz w:val="28"/>
    </w:rPr>
  </w:style>
  <w:style w:type="paragraph" w:styleId="Ttulo41" w:customStyle="1">
    <w:name w:val="Título 41"/>
    <w:basedOn w:val="Normal1"/>
    <w:next w:val="Normal1"/>
    <w:qFormat/>
    <w:rsid w:val="00972b43"/>
    <w:pPr>
      <w:keepNext w:val="true"/>
      <w:keepLines/>
      <w:spacing w:before="240" w:after="40"/>
      <w:outlineLvl w:val="3"/>
    </w:pPr>
    <w:rPr>
      <w:b/>
      <w:sz w:val="24"/>
    </w:rPr>
  </w:style>
  <w:style w:type="paragraph" w:styleId="Ttulo51" w:customStyle="1">
    <w:name w:val="Título 51"/>
    <w:basedOn w:val="Normal1"/>
    <w:next w:val="Normal1"/>
    <w:qFormat/>
    <w:rsid w:val="00972b43"/>
    <w:pPr>
      <w:keepNext w:val="true"/>
      <w:keepLines/>
      <w:spacing w:before="220" w:after="40"/>
      <w:outlineLvl w:val="4"/>
    </w:pPr>
    <w:rPr>
      <w:b/>
    </w:rPr>
  </w:style>
  <w:style w:type="paragraph" w:styleId="Ttulo61" w:customStyle="1">
    <w:name w:val="Título 61"/>
    <w:basedOn w:val="Normal1"/>
    <w:next w:val="Normal1"/>
    <w:qFormat/>
    <w:rsid w:val="00972b43"/>
    <w:pPr>
      <w:keepNext w:val="true"/>
      <w:keepLines/>
      <w:spacing w:before="200" w:after="40"/>
      <w:outlineLvl w:val="5"/>
    </w:pPr>
    <w:rPr>
      <w:b/>
      <w:sz w:val="20"/>
    </w:rPr>
  </w:style>
  <w:style w:type="paragraph" w:styleId="Normal1" w:customStyle="1">
    <w:name w:val="Normal1"/>
    <w:qFormat/>
    <w:rsid w:val="00972b4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0"/>
      <w:lang w:val="pt-BR" w:eastAsia="pt-BR" w:bidi="ar-SA"/>
    </w:rPr>
  </w:style>
  <w:style w:type="paragraph" w:styleId="Subtitle">
    <w:name w:val="Subtitle"/>
    <w:basedOn w:val="Normal1"/>
    <w:next w:val="Normal1"/>
    <w:qFormat/>
    <w:rsid w:val="00972b43"/>
    <w:pPr>
      <w:keepNext w:val="true"/>
      <w:keepLines/>
      <w:tabs>
        <w:tab w:val="clear" w:pos="709"/>
        <w:tab w:val="left" w:pos="708" w:leader="none"/>
      </w:tabs>
      <w:spacing w:before="240" w:after="120"/>
      <w:jc w:val="center"/>
    </w:pPr>
    <w:rPr>
      <w:rFonts w:ascii="Arial" w:hAnsi="Arial" w:eastAsia="Arial" w:cs="Arial"/>
      <w:i/>
      <w:color w:val="00000A"/>
      <w:sz w:val="28"/>
    </w:rPr>
  </w:style>
  <w:style w:type="paragraph" w:styleId="Cabealho1" w:customStyle="1">
    <w:name w:val="Cabeçalho1"/>
    <w:basedOn w:val="Normal"/>
    <w:qFormat/>
    <w:rsid w:val="00972b43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Rodap1" w:customStyle="1">
    <w:name w:val="Rodapé1"/>
    <w:basedOn w:val="Normal"/>
    <w:qFormat/>
    <w:rsid w:val="00972b43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qFormat/>
    <w:rsid w:val="00972b43"/>
    <w:pPr/>
    <w:rPr>
      <w:rFonts w:ascii="Tahoma" w:hAnsi="Tahoma" w:eastAsia="Tahoma" w:cs="Tahoma"/>
      <w:sz w:val="16"/>
      <w:szCs w:val="16"/>
    </w:rPr>
  </w:style>
  <w:style w:type="paragraph" w:styleId="Padro" w:customStyle="1">
    <w:name w:val="Padrão"/>
    <w:qFormat/>
    <w:rsid w:val="00972b43"/>
    <w:pPr>
      <w:widowControl/>
      <w:tabs>
        <w:tab w:val="clear" w:pos="709"/>
        <w:tab w:val="left" w:pos="708" w:leader="none"/>
      </w:tabs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A"/>
      <w:kern w:val="0"/>
      <w:sz w:val="24"/>
      <w:szCs w:val="24"/>
      <w:lang w:val="pt-BR" w:eastAsia="zh-CN" w:bidi="ar-SA"/>
    </w:rPr>
  </w:style>
  <w:style w:type="paragraph" w:styleId="texto" w:customStyle="1">
    <w:name w:val="texto"/>
    <w:qFormat/>
    <w:rsid w:val="00972b43"/>
    <w:pPr>
      <w:widowControl/>
      <w:tabs>
        <w:tab w:val="clear" w:pos="709"/>
        <w:tab w:val="left" w:pos="1728" w:leader="none"/>
        <w:tab w:val="left" w:pos="2436" w:leader="none"/>
        <w:tab w:val="left" w:pos="3144" w:leader="none"/>
        <w:tab w:val="left" w:pos="3852" w:leader="none"/>
        <w:tab w:val="left" w:pos="4560" w:leader="none"/>
        <w:tab w:val="left" w:pos="5268" w:leader="none"/>
        <w:tab w:val="left" w:pos="5976" w:leader="none"/>
        <w:tab w:val="left" w:pos="6684" w:leader="none"/>
        <w:tab w:val="left" w:pos="7392" w:leader="none"/>
        <w:tab w:val="left" w:pos="8100" w:leader="none"/>
        <w:tab w:val="left" w:pos="8808" w:leader="none"/>
        <w:tab w:val="left" w:pos="9516" w:leader="none"/>
        <w:tab w:val="left" w:pos="10224" w:leader="none"/>
        <w:tab w:val="left" w:pos="10932" w:leader="none"/>
        <w:tab w:val="left" w:pos="11640" w:leader="none"/>
        <w:tab w:val="left" w:pos="12348" w:leader="none"/>
        <w:tab w:val="left" w:pos="13056" w:leader="none"/>
        <w:tab w:val="left" w:pos="13764" w:leader="none"/>
        <w:tab w:val="left" w:pos="14472" w:leader="none"/>
        <w:tab w:val="left" w:pos="15180" w:leader="none"/>
        <w:tab w:val="left" w:pos="15888" w:leader="none"/>
        <w:tab w:val="left" w:pos="16596" w:leader="none"/>
        <w:tab w:val="left" w:pos="17304" w:leader="none"/>
        <w:tab w:val="left" w:pos="18012" w:leader="none"/>
        <w:tab w:val="left" w:pos="18720" w:leader="none"/>
        <w:tab w:val="left" w:pos="19428" w:leader="none"/>
        <w:tab w:val="left" w:pos="20136" w:leader="none"/>
        <w:tab w:val="left" w:pos="20844" w:leader="none"/>
        <w:tab w:val="left" w:pos="21552" w:leader="none"/>
        <w:tab w:val="left" w:pos="22260" w:leader="none"/>
        <w:tab w:val="left" w:pos="22968" w:leader="none"/>
        <w:tab w:val="left" w:pos="23676" w:leader="none"/>
        <w:tab w:val="left" w:pos="24384" w:leader="none"/>
        <w:tab w:val="left" w:pos="25092" w:leader="none"/>
        <w:tab w:val="left" w:pos="25800" w:leader="none"/>
        <w:tab w:val="left" w:pos="26508" w:leader="none"/>
        <w:tab w:val="left" w:pos="27216" w:leader="none"/>
        <w:tab w:val="left" w:pos="27924" w:leader="none"/>
        <w:tab w:val="left" w:pos="28632" w:leader="none"/>
        <w:tab w:val="left" w:pos="29340" w:leader="none"/>
      </w:tabs>
      <w:suppressAutoHyphens w:val="true"/>
      <w:bidi w:val="0"/>
      <w:spacing w:lineRule="atLeast" w:line="240" w:before="0" w:after="0"/>
      <w:ind w:hanging="170" w:left="170"/>
      <w:jc w:val="both"/>
    </w:pPr>
    <w:rPr>
      <w:rFonts w:ascii="Times New Roman" w:hAnsi="Times New Roman" w:eastAsia="Arial" w:cs="Times New Roman"/>
      <w:color w:val="00000A"/>
      <w:kern w:val="0"/>
      <w:sz w:val="20"/>
      <w:szCs w:val="20"/>
      <w:lang w:val="pt-BR" w:eastAsia="zh-CN" w:bidi="ar-SA"/>
    </w:rPr>
  </w:style>
  <w:style w:type="paragraph" w:styleId="ListParagraph">
    <w:name w:val="List Paragraph"/>
    <w:basedOn w:val="Normal"/>
    <w:link w:val="PargrafodaListaChar"/>
    <w:uiPriority w:val="34"/>
    <w:qFormat/>
    <w:rsid w:val="00972b43"/>
    <w:pPr>
      <w:ind w:left="720"/>
    </w:pPr>
    <w:rPr/>
  </w:style>
  <w:style w:type="paragraph" w:styleId="NormalWeb">
    <w:name w:val="Normal (Web)"/>
    <w:basedOn w:val="Normal"/>
    <w:uiPriority w:val="99"/>
    <w:qFormat/>
    <w:rsid w:val="00972b43"/>
    <w:pPr>
      <w:spacing w:before="100" w:after="100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Contedodatabela" w:customStyle="1">
    <w:name w:val="Conteúdo da tabela"/>
    <w:basedOn w:val="Standard"/>
    <w:qFormat/>
    <w:rsid w:val="00972b43"/>
    <w:pPr>
      <w:suppressLineNumbers/>
    </w:pPr>
    <w:rPr/>
  </w:style>
  <w:style w:type="paragraph" w:styleId="CabealhoeRodap" w:customStyle="1">
    <w:name w:val="Cabeçalho e Rodapé"/>
    <w:basedOn w:val="Normal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Cabealhoerodap3">
    <w:name w:val="Cabeçalho e rodapé3"/>
    <w:basedOn w:val="Normal"/>
    <w:qFormat/>
    <w:pPr/>
    <w:rPr/>
  </w:style>
  <w:style w:type="paragraph" w:styleId="Cabealhoerodap4">
    <w:name w:val="Cabeçalho e rodapé4"/>
    <w:basedOn w:val="Normal"/>
    <w:qFormat/>
    <w:pPr/>
    <w:rPr/>
  </w:style>
  <w:style w:type="paragraph" w:styleId="Cabealhoerodap5">
    <w:name w:val="Cabeçalho e rodapé5"/>
    <w:basedOn w:val="Normal"/>
    <w:qFormat/>
    <w:pPr/>
    <w:rPr/>
  </w:style>
  <w:style w:type="paragraph" w:styleId="Cabealhoerodap6">
    <w:name w:val="Cabeçalho e rodapé6"/>
    <w:basedOn w:val="Normal"/>
    <w:qFormat/>
    <w:pPr/>
    <w:rPr/>
  </w:style>
  <w:style w:type="paragraph" w:styleId="Cabealhoerodap7">
    <w:name w:val="Cabeçalho e rodapé7"/>
    <w:basedOn w:val="Normal"/>
    <w:qFormat/>
    <w:pPr/>
    <w:rPr/>
  </w:style>
  <w:style w:type="paragraph" w:styleId="Cabealhoerodap8">
    <w:name w:val="Cabeçalho e rodapé8"/>
    <w:basedOn w:val="Normal"/>
    <w:qFormat/>
    <w:pPr/>
    <w:rPr/>
  </w:style>
  <w:style w:type="paragraph" w:styleId="Header">
    <w:name w:val="header"/>
    <w:basedOn w:val="Normal"/>
    <w:rsid w:val="00972b43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rsid w:val="00972b43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Quote">
    <w:name w:val="Quote"/>
    <w:basedOn w:val="Normal"/>
    <w:next w:val="Normal"/>
    <w:qFormat/>
    <w:rsid w:val="00972b43"/>
    <w:pPr>
      <w:jc w:val="both"/>
    </w:pPr>
    <w:rPr>
      <w:rFonts w:eastAsia="Times New Roman" w:cs="Times New Roman"/>
      <w:i/>
      <w:iCs/>
      <w:color w:val="1F497D"/>
      <w:sz w:val="20"/>
    </w:rPr>
  </w:style>
  <w:style w:type="paragraph" w:styleId="ListBullet">
    <w:name w:val="List Bullet"/>
    <w:basedOn w:val="Normal"/>
    <w:uiPriority w:val="99"/>
    <w:unhideWhenUsed/>
    <w:rsid w:val="00ef7563"/>
    <w:pPr>
      <w:numPr>
        <w:ilvl w:val="0"/>
        <w:numId w:val="1"/>
      </w:numPr>
      <w:spacing w:before="0" w:after="0"/>
      <w:contextualSpacing/>
    </w:pPr>
    <w:rPr/>
  </w:style>
  <w:style w:type="paragraph" w:styleId="TableParagraph" w:customStyle="1">
    <w:name w:val="Table Paragraph"/>
    <w:basedOn w:val="Normal"/>
    <w:uiPriority w:val="1"/>
    <w:qFormat/>
    <w:rsid w:val="00600a8a"/>
    <w:pPr>
      <w:widowControl w:val="false"/>
    </w:pPr>
    <w:rPr>
      <w:color w:val="auto"/>
      <w:szCs w:val="22"/>
      <w:lang w:val="pt-PT" w:eastAsia="en-US"/>
    </w:rPr>
  </w:style>
  <w:style w:type="paragraph" w:styleId="HTMLTopofForm">
    <w:name w:val="HTML Top of Form"/>
    <w:basedOn w:val="Normal"/>
    <w:next w:val="Normal"/>
    <w:link w:val="Partesuperior-zdoformulrioChar"/>
    <w:uiPriority w:val="99"/>
    <w:semiHidden/>
    <w:unhideWhenUsed/>
    <w:qFormat/>
    <w:rsid w:val="003a56e7"/>
    <w:pPr>
      <w:pBdr>
        <w:bottom w:val="single" w:sz="6" w:space="1" w:color="000000"/>
      </w:pBdr>
      <w:jc w:val="center"/>
    </w:pPr>
    <w:rPr>
      <w:rFonts w:ascii="Arial" w:hAnsi="Arial" w:eastAsia="Times New Roman" w:cs="Arial"/>
      <w:vanish/>
      <w:color w:val="auto"/>
      <w:sz w:val="16"/>
      <w:szCs w:val="16"/>
    </w:rPr>
  </w:style>
  <w:style w:type="paragraph" w:styleId="caption1" w:customStyle="1">
    <w:name w:val="caption1"/>
    <w:basedOn w:val="Normal"/>
    <w:next w:val="Normal"/>
    <w:uiPriority w:val="35"/>
    <w:unhideWhenUsed/>
    <w:qFormat/>
    <w:rsid w:val="00392c75"/>
    <w:pPr>
      <w:spacing w:before="0" w:after="200"/>
    </w:pPr>
    <w:rPr>
      <w:i/>
      <w:iCs/>
      <w:color w:themeColor="text2" w:val="1F497D"/>
      <w:sz w:val="18"/>
      <w:szCs w:val="18"/>
    </w:rPr>
  </w:style>
  <w:style w:type="paragraph" w:styleId="Default" w:customStyle="1">
    <w:name w:val="Default"/>
    <w:qFormat/>
    <w:rsid w:val="00392c75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Calibri" w:cs="Liberation Serif"/>
      <w:color w:val="000000"/>
      <w:kern w:val="0"/>
      <w:sz w:val="24"/>
      <w:szCs w:val="24"/>
      <w:lang w:val="pt-BR" w:eastAsia="pt-BR" w:bidi="ar-SA"/>
    </w:rPr>
  </w:style>
  <w:style w:type="paragraph" w:styleId="NoSpacing">
    <w:name w:val="No Spacing"/>
    <w:uiPriority w:val="1"/>
    <w:qFormat/>
    <w:rsid w:val="00420e09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" w:cstheme="minorBidi" w:eastAsiaTheme="minorHAnsi"/>
      <w:color w:val="auto"/>
      <w:kern w:val="0"/>
      <w:sz w:val="24"/>
      <w:szCs w:val="22"/>
      <w:lang w:val="pt-BR" w:eastAsia="en-US" w:bidi="ar-SA"/>
      <w14:ligatures w14:val="standard"/>
    </w:rPr>
  </w:style>
  <w:style w:type="paragraph" w:styleId="Estilopadro" w:customStyle="1">
    <w:name w:val="Estilo padrão"/>
    <w:qFormat/>
    <w:rsid w:val="00420e0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auto"/>
      <w:kern w:val="0"/>
      <w:sz w:val="22"/>
      <w:szCs w:val="22"/>
      <w:lang w:val="pt-BR" w:eastAsia="en-US" w:bidi="ar-SA"/>
    </w:rPr>
  </w:style>
  <w:style w:type="paragraph" w:styleId="Contedodoquadrouser">
    <w:name w:val="Conteúdo do quadro (user)"/>
    <w:basedOn w:val="Normal"/>
    <w:qFormat/>
    <w:pPr/>
    <w:rPr/>
  </w:style>
  <w:style w:type="paragraph" w:styleId="Contedodoquadro">
    <w:name w:val="Conteúdo do quadro"/>
    <w:basedOn w:val="Normal"/>
    <w:qFormat/>
    <w:pPr/>
    <w:rPr/>
  </w:style>
  <w:style w:type="paragraph" w:styleId="Textoprformatadouser">
    <w:name w:val="Texto préformatado (user)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  <w:style w:type="numbering" w:styleId="Semlistauser" w:default="1">
    <w:name w:val="Sem lista (user)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965b3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600a8a"/>
    <w:rPr>
      <w:rFonts w:asciiTheme="minorHAnsi" w:hAnsiTheme="minorHAnsi" w:eastAsiaTheme="minorHAnsi" w:cstheme="minorBidi"/>
      <w:lang w:val="en-US" w:eastAsia="en-US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1"/>
    <w:basedOn w:val="Tabelanormal"/>
    <w:rsid w:val="00e71b85"/>
    <w:rPr>
      <w:lang w:val="en-US"/>
      <w:sz w:val="20"/>
    </w:rPr>
    <w:tblPr>
      <w:tblStyleRowBandSize w:val="1"/>
      <w:tblStyleColBandSize w:val="1"/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hyperlink" Target="mailto:compras@bombeiros.to.gov.br" TargetMode="Externa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hyperlink" Target="mailto:compras@bombeiros.to.gov.br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9DC8D-411C-4B19-AFDB-6449AE1DE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Application>LibreOffice/25.2.5.2$Windows_X86_64 LibreOffice_project/03d19516eb2e1dd5d4ccd751a0d6f35f35e08022</Application>
  <AppVersion>15.0000</AppVersion>
  <Pages>8</Pages>
  <Words>1241</Words>
  <Characters>9507</Characters>
  <CharactersWithSpaces>10799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2025-07-09T15:55:00Z</dcterms:created>
  <dc:creator>UNIR</dc:creator>
  <dc:description/>
  <dc:language>pt-BR</dc:language>
  <cp:lastModifiedBy/>
  <cp:lastPrinted>2025-08-25T10:12:04Z</cp:lastPrinted>
  <dcterms:modified xsi:type="dcterms:W3CDTF">2025-08-25T19:53:02Z</dcterms:modified>
  <cp:revision>16</cp:revision>
  <dc:subject/>
  <dc:title>Oficialização da Demanda 2014 - Eq. de Informática.docx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