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TESTE-001/2025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2025/09099/017491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TESTE-001/2025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2025/09099/017491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/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/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/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/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Outro. Especificar: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Outro, indicar o benefício: 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