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60"/>
      </w:pPr>
    </w:p>
    <w:p>
      <w:pPr>
        <w:pStyle w:val="Title"/>
        <w:jc w:val="center"/>
      </w:pPr>
      <w:r>
        <w:t>AIOps 平台 UI 重设计与完整验收方案</w:t>
      </w:r>
    </w:p>
    <w:p>
      <w:pPr>
        <w:pStyle w:val="Subtitle"/>
        <w:jc w:val="center"/>
      </w:pPr>
      <w:r>
        <w:t>面向真实云平台运维的页面规范 实施路径与验收基线</w:t>
      </w:r>
    </w:p>
    <w:p>
      <w:pPr>
        <w:spacing w:before="240"/>
        <w:jc w:val="center"/>
      </w:pPr>
      <w:r>
        <w:rPr>
          <w:rFonts w:ascii="Arial" w:hAnsi="Arial" w:eastAsia="Arial Unicode MS" w:cs="Arial Unicode MS"/>
          <w:b w:val="0"/>
          <w:i w:val="0"/>
          <w:color w:val="5B667A"/>
          <w:sz w:val="20"/>
        </w:rPr>
        <w:t>版本 1.0    2026 年 9 月 12 日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3333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80"/>
            <w:shd w:fill="3333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状态</w:t>
            </w:r>
          </w:p>
        </w:tc>
        <w:tc>
          <w:tcPr>
            <w:tcW w:type="dxa" w:w="82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设计方向已确认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目标环境</w:t>
            </w:r>
          </w:p>
        </w:tc>
        <w:tc>
          <w:tcPr>
            <w:tcW w:type="dxa" w:w="82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http://localhost:30253/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主要读者</w:t>
            </w:r>
          </w:p>
        </w:tc>
        <w:tc>
          <w:tcPr>
            <w:tcW w:type="dxa" w:w="82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产品负责人 前端与后端工程师 测试与验收智能体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交付目标</w:t>
            </w:r>
          </w:p>
        </w:tc>
        <w:tc>
          <w:tcPr>
            <w:tcW w:type="dxa" w:w="82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完成全新 UI 实现后使用真实环境和真实数据执行完整验收</w:t>
            </w:r>
          </w:p>
        </w:tc>
      </w:tr>
    </w:tbl>
    <w:p>
      <w:pPr>
        <w:spacing w:after="20"/>
      </w:pPr>
    </w:p>
    <w:p/>
    <w:p>
      <w:pPr>
        <w:ind w:left="648" w:right="648"/>
        <w:jc w:val="center"/>
      </w:pPr>
      <w:r>
        <w:rPr>
          <w:rFonts w:ascii="Arial" w:hAnsi="Arial" w:eastAsia="Arial Unicode MS" w:cs="Arial Unicode MS"/>
          <w:b w:val="0"/>
          <w:i w:val="0"/>
          <w:color w:val="172033"/>
          <w:sz w:val="22"/>
        </w:rPr>
        <w:t>本文将平台界面统一为总览 问题 资源 调查 处置五个工作区，并把 AI 作为随页面打开的上下文助手。所有正式数据继续来自真实接口，任何模拟回退都不能用于验收。</w:t>
      </w:r>
    </w:p>
    <w:p>
      <w:r>
        <w:br w:type="page"/>
      </w:r>
    </w:p>
    <w:p>
      <w:pPr>
        <w:pStyle w:val="Heading1"/>
      </w:pPr>
      <w:r>
        <w:t>文档目的与执行结论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设计：规定用户看到什么、信息如何组织以及页面怎样简洁表达。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实施：规定后续智能体按什么顺序改造并如何保留技术边界。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验收：规定页面、功能、真实数据、AI 定位与安全何时可以发布。</w:t>
      </w:r>
    </w:p>
    <w:p>
      <w:pPr>
        <w:keepLines w:val="0"/>
      </w:pPr>
      <w:r>
        <w:rPr>
          <w:rFonts w:ascii="Arial" w:hAnsi="Arial" w:eastAsia="Arial Unicode MS" w:cs="Arial Unicode MS"/>
          <w:b/>
          <w:i w:val="0"/>
          <w:color w:val="172033"/>
          <w:sz w:val="21"/>
        </w:rPr>
        <w:t>核心决定：</w:t>
      </w: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采用以任务流为中心的全新界面。首屏先回答当前问题、影响和下一步，不先暴露后端模块、枚举、UUID 或规则表达式。</w:t>
      </w:r>
    </w:p>
    <w:p>
      <w:pPr>
        <w:keepLines w:val="0"/>
      </w:pPr>
      <w:r>
        <w:rPr>
          <w:rFonts w:ascii="Arial" w:hAnsi="Arial" w:eastAsia="Arial Unicode MS" w:cs="Arial Unicode MS"/>
          <w:b/>
          <w:i w:val="0"/>
          <w:color w:val="172033"/>
          <w:sz w:val="21"/>
        </w:rPr>
        <w:t>实现边界：</w:t>
      </w: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只重组页面和表达，不削弱租户与集群授权、资源唯一身份、调查持久化、处置审批、ResourceVersion、回滚和审计。</w:t>
      </w:r>
    </w:p>
    <w:p>
      <w:pPr>
        <w:pStyle w:val="Heading1"/>
      </w:pPr>
      <w:r>
        <w:t>当前页面主要问题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296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范围</w:t>
            </w:r>
          </w:p>
        </w:tc>
        <w:tc>
          <w:tcPr>
            <w:tcW w:type="dxa" w:w="4536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观察结果</w:t>
            </w:r>
          </w:p>
        </w:tc>
        <w:tc>
          <w:tcPr>
            <w:tcW w:type="dxa" w:w="4392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主要影响</w:t>
            </w:r>
          </w:p>
        </w:tc>
      </w:tr>
      <w:tr>
        <w:trPr>
          <w:cantSplit/>
        </w:trPr>
        <w:tc>
          <w:tcPr>
            <w:tcW w:type="dxa" w:w="129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作用域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平台总览仍出现集群选择或作用域警告，系统管理也保留集群语境</w:t>
            </w:r>
          </w:p>
        </w:tc>
        <w:tc>
          <w:tcPr>
            <w:tcW w:type="dxa" w:w="43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用户无法判断页面是全平台还是单集群</w:t>
            </w:r>
          </w:p>
        </w:tc>
      </w:tr>
      <w:tr>
        <w:trPr>
          <w:cantSplit/>
        </w:trPr>
        <w:tc>
          <w:tcPr>
            <w:tcW w:type="dxa" w:w="129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导航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助手 知识 报告与调查 处置同级，部分页面高亮回落到平台</w:t>
            </w:r>
          </w:p>
        </w:tc>
        <w:tc>
          <w:tcPr>
            <w:tcW w:type="dxa" w:w="43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需要先理解系统模块，无法沿任务自然推进</w:t>
            </w:r>
          </w:p>
        </w:tc>
      </w:tr>
      <w:tr>
        <w:trPr>
          <w:cantSplit/>
        </w:trPr>
        <w:tc>
          <w:tcPr>
            <w:tcW w:type="dxa" w:w="129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信息层级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数据不完整 陈旧和 warning code 重复出现</w:t>
            </w:r>
          </w:p>
        </w:tc>
        <w:tc>
          <w:tcPr>
            <w:tcW w:type="dxa" w:w="43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预警挤压真正需要处理的问题</w:t>
            </w:r>
          </w:p>
        </w:tc>
      </w:tr>
      <w:tr>
        <w:trPr>
          <w:cantSplit/>
        </w:trPr>
        <w:tc>
          <w:tcPr>
            <w:tcW w:type="dxa" w:w="129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技术值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UUID 原始时间 规则表达式和英文错误占据首屏</w:t>
            </w:r>
          </w:p>
        </w:tc>
        <w:tc>
          <w:tcPr>
            <w:tcW w:type="dxa" w:w="43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降低可读性并增加误判风险</w:t>
            </w:r>
          </w:p>
        </w:tc>
      </w:tr>
      <w:tr>
        <w:trPr>
          <w:cantSplit/>
        </w:trPr>
        <w:tc>
          <w:tcPr>
            <w:tcW w:type="dxa" w:w="129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观测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问题 告警 指标 日志 Trace 事件 变更七个同级页签</w:t>
            </w:r>
          </w:p>
        </w:tc>
        <w:tc>
          <w:tcPr>
            <w:tcW w:type="dxa" w:w="43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待办对象与诊断证据混为一层</w:t>
            </w:r>
          </w:p>
        </w:tc>
      </w:tr>
      <w:tr>
        <w:trPr>
          <w:cantSplit/>
        </w:trPr>
        <w:tc>
          <w:tcPr>
            <w:tcW w:type="dxa" w:w="129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处置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审批 执行 验证状态同时平铺</w:t>
            </w:r>
          </w:p>
        </w:tc>
        <w:tc>
          <w:tcPr>
            <w:tcW w:type="dxa" w:w="43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未到达的未来状态造成错误流程认知</w:t>
            </w:r>
          </w:p>
        </w:tc>
      </w:tr>
      <w:tr>
        <w:trPr>
          <w:cantSplit/>
        </w:trPr>
        <w:tc>
          <w:tcPr>
            <w:tcW w:type="dxa" w:w="129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AI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三栏固定布局 会话标题弱 Scope 技术字段密集</w:t>
            </w:r>
          </w:p>
        </w:tc>
        <w:tc>
          <w:tcPr>
            <w:tcW w:type="dxa" w:w="43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对话上下文不直观，破坏性动作权重过高</w:t>
            </w:r>
          </w:p>
        </w:tc>
      </w:tr>
    </w:tbl>
    <w:p>
      <w:pPr>
        <w:spacing w:after="20"/>
      </w:pPr>
    </w:p>
    <w:p>
      <w:pPr>
        <w:pStyle w:val="Heading1"/>
      </w:pPr>
      <w:r>
        <w:t>设计目标</w:t>
      </w: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每个工作区必须让值班人员在五秒内回答以下问题。</w:t>
      </w:r>
    </w:p>
    <w:p>
      <w:pPr>
        <w:pStyle w:val="ListNumber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发生了什么</w:t>
      </w:r>
    </w:p>
    <w:p>
      <w:pPr>
        <w:pStyle w:val="ListNumber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影响什么</w:t>
      </w:r>
    </w:p>
    <w:p>
      <w:pPr>
        <w:pStyle w:val="ListNumber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证据是否可信以及原因是什么</w:t>
      </w:r>
    </w:p>
    <w:p>
      <w:pPr>
        <w:pStyle w:val="ListNumber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现在应该做什么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blHeader w:val="true"/>
          <w:cantSplit/>
        </w:trPr>
        <w:tc>
          <w:tcPr>
            <w:tcW w:type="dxa" w:w="1843"/>
            <w:shd w:fill="EEF4FB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172033"/>
                <w:sz w:val="18"/>
              </w:rPr>
              <w:t>发现问题</w:t>
            </w:r>
          </w:p>
        </w:tc>
        <w:tc>
          <w:tcPr>
            <w:tcW w:type="dxa" w:w="360"/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5B667A"/>
                <w:sz w:val="24"/>
              </w:rPr>
              <w:t>→</w:t>
            </w:r>
          </w:p>
        </w:tc>
        <w:tc>
          <w:tcPr>
            <w:tcW w:type="dxa" w:w="1843"/>
            <w:shd w:fill="EEF4FB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172033"/>
                <w:sz w:val="18"/>
              </w:rPr>
              <w:t>定位原因</w:t>
            </w:r>
          </w:p>
        </w:tc>
        <w:tc>
          <w:tcPr>
            <w:tcW w:type="dxa" w:w="360"/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5B667A"/>
                <w:sz w:val="24"/>
              </w:rPr>
              <w:t>→</w:t>
            </w:r>
          </w:p>
        </w:tc>
        <w:tc>
          <w:tcPr>
            <w:tcW w:type="dxa" w:w="1843"/>
            <w:shd w:fill="EEF4FB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172033"/>
                <w:sz w:val="18"/>
              </w:rPr>
              <w:t>调查结论</w:t>
            </w:r>
          </w:p>
        </w:tc>
        <w:tc>
          <w:tcPr>
            <w:tcW w:type="dxa" w:w="360"/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5B667A"/>
                <w:sz w:val="24"/>
              </w:rPr>
              <w:t>→</w:t>
            </w:r>
          </w:p>
        </w:tc>
        <w:tc>
          <w:tcPr>
            <w:tcW w:type="dxa" w:w="1843"/>
            <w:shd w:fill="EEF4FB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172033"/>
                <w:sz w:val="18"/>
              </w:rPr>
              <w:t>受控处置</w:t>
            </w:r>
          </w:p>
        </w:tc>
        <w:tc>
          <w:tcPr>
            <w:tcW w:type="dxa" w:w="360"/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5B667A"/>
                <w:sz w:val="24"/>
              </w:rPr>
              <w:t>→</w:t>
            </w:r>
          </w:p>
        </w:tc>
        <w:tc>
          <w:tcPr>
            <w:tcW w:type="dxa" w:w="1843"/>
            <w:shd w:fill="EEF4FB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172033"/>
                <w:sz w:val="18"/>
              </w:rPr>
              <w:t>验证恢复</w:t>
            </w:r>
          </w:p>
        </w:tc>
      </w:tr>
    </w:tbl>
    <w:p>
      <w:pPr>
        <w:pStyle w:val="Caption"/>
        <w:jc w:val="center"/>
      </w:pPr>
      <w:r>
        <w:t>图 1 统一运维任务流</w:t>
      </w:r>
    </w:p>
    <w:p>
      <w:pPr>
        <w:pStyle w:val="Heading1"/>
      </w:pPr>
      <w:r>
        <w:t>新信息架构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工作区</w:t>
            </w:r>
          </w:p>
        </w:tc>
        <w:tc>
          <w:tcPr>
            <w:tcW w:type="dxa" w:w="3600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职责</w:t>
            </w:r>
          </w:p>
        </w:tc>
        <w:tc>
          <w:tcPr>
            <w:tcW w:type="dxa" w:w="5184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表达重点</w:t>
            </w:r>
          </w:p>
        </w:tc>
      </w:tr>
      <w:tr>
        <w:trPr>
          <w:cantSplit/>
        </w:trPr>
        <w:tc>
          <w:tcPr>
            <w:tcW w:type="dxa" w:w="14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总览</w:t>
            </w:r>
          </w:p>
        </w:tc>
        <w:tc>
          <w:tcPr>
            <w:tcW w:type="dxa" w:w="36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全平台或当前集群的运行态势</w:t>
            </w:r>
          </w:p>
        </w:tc>
        <w:tc>
          <w:tcPr>
            <w:tcW w:type="dxa" w:w="518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最高优先级问题和下一步</w:t>
            </w:r>
          </w:p>
        </w:tc>
      </w:tr>
      <w:tr>
        <w:trPr>
          <w:cantSplit/>
        </w:trPr>
        <w:tc>
          <w:tcPr>
            <w:tcW w:type="dxa" w:w="14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问题</w:t>
            </w:r>
          </w:p>
        </w:tc>
        <w:tc>
          <w:tcPr>
            <w:tcW w:type="dxa" w:w="36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聚合可处理问题</w:t>
            </w:r>
          </w:p>
        </w:tc>
        <w:tc>
          <w:tcPr>
            <w:tcW w:type="dxa" w:w="518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告警 指标 日志 Trace 事件和变更作为证据</w:t>
            </w:r>
          </w:p>
        </w:tc>
      </w:tr>
      <w:tr>
        <w:trPr>
          <w:cantSplit/>
        </w:trPr>
        <w:tc>
          <w:tcPr>
            <w:tcW w:type="dxa" w:w="14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资源</w:t>
            </w:r>
          </w:p>
        </w:tc>
        <w:tc>
          <w:tcPr>
            <w:tcW w:type="dxa" w:w="36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资源目录 详情和依赖关系</w:t>
            </w:r>
          </w:p>
        </w:tc>
        <w:tc>
          <w:tcPr>
            <w:tcW w:type="dxa" w:w="518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UID 与原始字段进入详情层</w:t>
            </w:r>
          </w:p>
        </w:tc>
      </w:tr>
      <w:tr>
        <w:trPr>
          <w:cantSplit/>
        </w:trPr>
        <w:tc>
          <w:tcPr>
            <w:tcW w:type="dxa" w:w="14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调查</w:t>
            </w:r>
          </w:p>
        </w:tc>
        <w:tc>
          <w:tcPr>
            <w:tcW w:type="dxa" w:w="36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从事实到根因结论</w:t>
            </w:r>
          </w:p>
        </w:tc>
        <w:tc>
          <w:tcPr>
            <w:tcW w:type="dxa" w:w="518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需要我处理 进行中 已结束</w:t>
            </w:r>
          </w:p>
        </w:tc>
      </w:tr>
      <w:tr>
        <w:trPr>
          <w:cantSplit/>
        </w:trPr>
        <w:tc>
          <w:tcPr>
            <w:tcW w:type="dxa" w:w="14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处置</w:t>
            </w:r>
          </w:p>
        </w:tc>
        <w:tc>
          <w:tcPr>
            <w:tcW w:type="dxa" w:w="36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审批 执行和恢复验证</w:t>
            </w:r>
          </w:p>
        </w:tc>
        <w:tc>
          <w:tcPr>
            <w:tcW w:type="dxa" w:w="518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风险评估 预检 审批 执行 验证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知识与报告放在辅助入口，系统管理固定在导航底部。AI 不再占用一级导航，而是从当前页面打开右侧上下文抽屉；完整会话仍保留独立深链。</w:t>
      </w:r>
    </w:p>
    <w:p>
      <w:r>
        <w:br w:type="page"/>
      </w:r>
    </w:p>
    <w:p>
      <w:pPr>
        <w:pStyle w:val="Heading1"/>
      </w:pPr>
      <w:r>
        <w:t>关键页面效果</w:t>
      </w: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以下页面用于确认信息架构、密度和操作层级。图中内容是版式示例，不是生产验收数据；正式实现必须绑定当前环境真实接口。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273136"/>
            <wp:docPr id="1" name="Picture 1" descr="AIOps 全平台总览页面，左侧五项导航，中间为数据可信度、三个事实指标和优先处理列表" title="图 2 总览页面以最高优先级问题为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3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总览页面以最高优先级问题为中心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273136"/>
            <wp:docPr id="2" name="Picture 2" descr="AIOps 问题中心，包含五列问题表和单一下一步动作" title="图 3 问题中心把观测信号收敛为证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ble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3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问题中心把观测信号收敛为证据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273136"/>
            <wp:docPr id="3" name="Picture 3" descr="AIOps 资源中心，显示名称、类型、健康、活动信号、最近变化和操作" title="图 4 资源中心使用对齐表格和渐进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sour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3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资源中心使用对齐表格和渐进详情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273136"/>
            <wp:docPr id="4" name="Picture 4" descr="AIOps 调查中心，显示需要处理、进行中和已结束队列" title="图 5 调查中心只保留三个任务队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vestig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3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调查中心只保留三个任务队列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273136"/>
            <wp:docPr id="5" name="Picture 5" descr="AIOps 处置中心，显示风险评估、预检、审批、执行和验证生命周期" title="图 6 处置中心使用一条生命周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3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处置中心使用一条生命周期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273136"/>
            <wp:docPr id="6" name="Picture 6" descr="AIOps 总览右侧打开 AI 运维助手，显示上下文、初步结论、关键证据、置信度和创建调查动作" title="图 7 AI 助手使用当前页面上下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i-assista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3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AI 助手使用当前页面上下文</w:t>
      </w:r>
    </w:p>
    <w:p>
      <w:r>
        <w:br w:type="page"/>
      </w:r>
    </w:p>
    <w:p>
      <w:pPr>
        <w:pStyle w:val="Heading1"/>
      </w:pPr>
      <w:r>
        <w:t>页面详细规范</w:t>
      </w:r>
    </w:p>
    <w:p>
      <w:pPr>
        <w:pStyle w:val="Heading2"/>
      </w:pPr>
      <w:r>
        <w:t>总览页面</w:t>
      </w: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全平台总览显示全平台作用域，不出现集群必选警告。页面按标题、单一可信度提示、三个事实指标、优先处理列表和集群状态排列。集群总览复用相同骨架，但只展示当前集群的数据。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事实指标只保留活动严重问题 受影响集群和采集覆盖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优先问题使用可读标题并隐藏原始规则表达式和完整 UID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同一数据异常只出现一条可信度提示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从最高优先级问题到开始调查不超过三次主要操作</w:t>
      </w:r>
    </w:p>
    <w:p>
      <w:pPr>
        <w:pStyle w:val="Heading2"/>
      </w:pPr>
      <w:r>
        <w:t>问题页面</w:t>
      </w: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问题页面吸收原观测中心的首层职责。首屏表格最多显示问题、影响对象、状态、最近变化和操作五列；负责人只有在真实接口提供时才出现。</w:t>
      </w: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指标、日志、Trace、事件和变更进入问题详情的证据区。用户仍可通过数据探索执行无问题上下文的查询，但这些信号不再成为七个同级主页面。</w:t>
      </w:r>
    </w:p>
    <w:p>
      <w:pPr>
        <w:pStyle w:val="Heading2"/>
      </w:pPr>
      <w:r>
        <w:t>资源页面</w:t>
      </w: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资源目录使用可比较的对齐表格，首屏最多显示名称、类型与命名空间、健康、活动信号、最近变化和操作六列。UID、标签、完整时间、owner references 和原始数据放入详情抽屉。</w:t>
      </w: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关系图属于资源工作区。主画布默认占据主体，只有选中节点时才打开检查器；图例默认折叠。关系图失败时提供中文原因、影响范围、重试和等价关系列表入口。</w:t>
      </w:r>
    </w:p>
    <w:p>
      <w:pPr>
        <w:pStyle w:val="Heading2"/>
      </w:pPr>
      <w:r>
        <w:t>调查页面</w:t>
      </w: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调查只保留需要我处理、进行中和已结束三个队列。每条调查显示目标、当前结论或证据缺口、阶段、证据数量、更新时间和一个主动作。待验证属于处置生命周期，不再成为调查一级队列。</w:t>
      </w:r>
    </w:p>
    <w:p>
      <w:pPr>
        <w:pStyle w:val="Heading2"/>
      </w:pPr>
      <w:r>
        <w:t>处置页面</w:t>
      </w:r>
    </w:p>
    <w:p>
      <w:pPr>
        <w:keepLines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处置使用风险评估、预检、审批、执行、验证五阶段。页面只突出当前阶段；以后阶段保持未开始，不显示未知执行或待验证等伪状态。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只有具备能力且到达审批阶段时显示批准和拒绝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只有执行结束后才显示验证结果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高风险动作在详情中显示影响范围 ResourceVersion 回滚和审计说明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AI 提出的动作继续经过服务端预检 审批和审计</w:t>
      </w:r>
    </w:p>
    <w:p>
      <w:pPr>
        <w:pStyle w:val="Heading2"/>
      </w:pPr>
      <w:r>
        <w:t>AI 助手页面</w:t>
      </w: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AI 默认以 400 至 440 像素宽的上下文抽屉打开。顶部显示集群、资源、问题和时间窗口的可读标签；复杂对话可以展开为完整页面。</w:t>
      </w: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回答固定包含结论、关键证据、反证与未知项、置信度及理由、下一步和受控动作。AI 只能创建调查草稿或动作建议，不能在对话中直接执行。</w:t>
      </w:r>
    </w:p>
    <w:p>
      <w:pPr>
        <w:pStyle w:val="Heading1"/>
      </w:pPr>
      <w:r>
        <w:t>智能故障定位能力</w:t>
      </w: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故障定位必须以真实证据为起点，并保留从问题到恢复验证的可追溯链路。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blHeader w:val="true"/>
          <w:cantSplit/>
        </w:trPr>
        <w:tc>
          <w:tcPr>
            <w:tcW w:type="dxa" w:w="1843"/>
            <w:shd w:fill="EEF4FB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172033"/>
                <w:sz w:val="18"/>
              </w:rPr>
              <w:t>冻结作用域</w:t>
            </w:r>
          </w:p>
        </w:tc>
        <w:tc>
          <w:tcPr>
            <w:tcW w:type="dxa" w:w="360"/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5B667A"/>
                <w:sz w:val="24"/>
              </w:rPr>
              <w:t>→</w:t>
            </w:r>
          </w:p>
        </w:tc>
        <w:tc>
          <w:tcPr>
            <w:tcW w:type="dxa" w:w="1843"/>
            <w:shd w:fill="EEF4FB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172033"/>
                <w:sz w:val="18"/>
              </w:rPr>
              <w:t>读取真实事实</w:t>
            </w:r>
          </w:p>
        </w:tc>
        <w:tc>
          <w:tcPr>
            <w:tcW w:type="dxa" w:w="360"/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5B667A"/>
                <w:sz w:val="24"/>
              </w:rPr>
              <w:t>→</w:t>
            </w:r>
          </w:p>
        </w:tc>
        <w:tc>
          <w:tcPr>
            <w:tcW w:type="dxa" w:w="1843"/>
            <w:shd w:fill="EEF4FB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172033"/>
                <w:sz w:val="18"/>
              </w:rPr>
              <w:t>时间对齐</w:t>
            </w:r>
          </w:p>
        </w:tc>
        <w:tc>
          <w:tcPr>
            <w:tcW w:type="dxa" w:w="360"/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5B667A"/>
                <w:sz w:val="24"/>
              </w:rPr>
              <w:t>→</w:t>
            </w:r>
          </w:p>
        </w:tc>
        <w:tc>
          <w:tcPr>
            <w:tcW w:type="dxa" w:w="1843"/>
            <w:shd w:fill="EEF4FB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172033"/>
                <w:sz w:val="18"/>
              </w:rPr>
              <w:t>候选与反证</w:t>
            </w:r>
          </w:p>
        </w:tc>
        <w:tc>
          <w:tcPr>
            <w:tcW w:type="dxa" w:w="360"/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5B667A"/>
                <w:sz w:val="24"/>
              </w:rPr>
              <w:t>→</w:t>
            </w:r>
          </w:p>
        </w:tc>
        <w:tc>
          <w:tcPr>
            <w:tcW w:type="dxa" w:w="1843"/>
            <w:shd w:fill="EEF4FB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172033"/>
                <w:sz w:val="18"/>
              </w:rPr>
              <w:t>结论与行动</w:t>
            </w:r>
          </w:p>
        </w:tc>
      </w:tr>
    </w:tbl>
    <w:p>
      <w:pPr>
        <w:pStyle w:val="Caption"/>
        <w:jc w:val="center"/>
      </w:pPr>
      <w:r>
        <w:t>图 8 智能故障定位主链路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3816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输入与输出</w:t>
            </w:r>
          </w:p>
        </w:tc>
        <w:tc>
          <w:tcPr>
            <w:tcW w:type="dxa" w:w="4680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必须成立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输入与作用域</w:t>
            </w:r>
          </w:p>
        </w:tc>
        <w:tc>
          <w:tcPr>
            <w:tcW w:type="dxa" w:w="381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问题 用户提问 集群 资源 绝对时间</w:t>
            </w:r>
          </w:p>
        </w:tc>
        <w:tc>
          <w:tcPr>
            <w:tcW w:type="dxa" w:w="46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会话创建后冻结，不随刷新漂移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事实采集</w:t>
            </w:r>
          </w:p>
        </w:tc>
        <w:tc>
          <w:tcPr>
            <w:tcW w:type="dxa" w:w="381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指标 日志 Trace 事件 变更 配置 关系图</w:t>
            </w:r>
          </w:p>
        </w:tc>
        <w:tc>
          <w:tcPr>
            <w:tcW w:type="dxa" w:w="46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只接受当前授权范围的真实数据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知识辅助</w:t>
            </w:r>
          </w:p>
        </w:tc>
        <w:tc>
          <w:tcPr>
            <w:tcW w:type="dxa" w:w="381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已发布运维知识和历史案例</w:t>
            </w:r>
          </w:p>
        </w:tc>
        <w:tc>
          <w:tcPr>
            <w:tcW w:type="dxa" w:w="46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只能辅助解释，不能替代环境事实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证据推理</w:t>
            </w:r>
          </w:p>
        </w:tc>
        <w:tc>
          <w:tcPr>
            <w:tcW w:type="dxa" w:w="381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支持证据 反证 缺失项 时间关系</w:t>
            </w:r>
          </w:p>
        </w:tc>
        <w:tc>
          <w:tcPr>
            <w:tcW w:type="dxa" w:w="46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证据不足时降低置信度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输出</w:t>
            </w:r>
          </w:p>
        </w:tc>
        <w:tc>
          <w:tcPr>
            <w:tcW w:type="dxa" w:w="381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结论 引用 置信度 未知项 下一步</w:t>
            </w:r>
          </w:p>
        </w:tc>
        <w:tc>
          <w:tcPr>
            <w:tcW w:type="dxa" w:w="46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不得把推测写成已确认根因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闭环</w:t>
            </w:r>
          </w:p>
        </w:tc>
        <w:tc>
          <w:tcPr>
            <w:tcW w:type="dxa" w:w="381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调查 动作建议 审批 执行 恢复验证</w:t>
            </w:r>
          </w:p>
        </w:tc>
        <w:tc>
          <w:tcPr>
            <w:tcW w:type="dxa" w:w="46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恢复必须由动作后的真实信号证明</w:t>
            </w:r>
          </w:p>
        </w:tc>
      </w:tr>
    </w:tbl>
    <w:p>
      <w:pPr>
        <w:spacing w:after="20"/>
      </w:pPr>
    </w:p>
    <w:p>
      <w:pPr>
        <w:pStyle w:val="Heading2"/>
      </w:pPr>
      <w:r>
        <w:t>能力合理性判断</w:t>
      </w: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该能力设计合理，因为它把语言模型限制在证据解释和建议生成范围内，把授权、预检、审批、执行与验证交给确定性的控制面。以下条件缺一不可。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根因结论必须引用真实事实，不得由模型自由生成后再补引用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数据缺失 陈旧或冲突时必须显示未知项并降低置信度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已发布知识只能作为辅助证据，不能覆盖当前环境事实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处置必须经过能力校验 预检 审批 ResourceVersion 和审计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动作 API 返回成功不能代替恢复验证</w:t>
      </w:r>
    </w:p>
    <w:p>
      <w:pPr>
        <w:pStyle w:val="Heading1"/>
      </w:pPr>
      <w:r>
        <w:t>真实数据与数据可信度</w:t>
      </w: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正式产品和正式验收都禁止使用 demo、fixture、随机数、静态成功状态或接口失败后的模拟回退。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5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状态</w:t>
            </w:r>
          </w:p>
        </w:tc>
        <w:tc>
          <w:tcPr>
            <w:tcW w:type="dxa" w:w="3960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定义</w:t>
            </w:r>
          </w:p>
        </w:tc>
        <w:tc>
          <w:tcPr>
            <w:tcW w:type="dxa" w:w="4608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页面表达</w:t>
            </w:r>
          </w:p>
        </w:tc>
      </w:tr>
      <w:tr>
        <w:trPr>
          <w:cantSplit/>
        </w:trPr>
        <w:tc>
          <w:tcPr>
            <w:tcW w:type="dxa" w:w="1655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零值</w:t>
            </w:r>
          </w:p>
        </w:tc>
        <w:tc>
          <w:tcPr>
            <w:tcW w:type="dxa" w:w="39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来源返回有效数值零</w:t>
            </w:r>
          </w:p>
        </w:tc>
        <w:tc>
          <w:tcPr>
            <w:tcW w:type="dxa" w:w="460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显示 0 并保留时间和来源</w:t>
            </w:r>
          </w:p>
        </w:tc>
      </w:tr>
      <w:tr>
        <w:trPr>
          <w:cantSplit/>
        </w:trPr>
        <w:tc>
          <w:tcPr>
            <w:tcW w:type="dxa" w:w="1655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空数据</w:t>
            </w:r>
          </w:p>
        </w:tc>
        <w:tc>
          <w:tcPr>
            <w:tcW w:type="dxa" w:w="39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查询成功但没有对象</w:t>
            </w:r>
          </w:p>
        </w:tc>
        <w:tc>
          <w:tcPr>
            <w:tcW w:type="dxa" w:w="460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显示明确空态</w:t>
            </w:r>
          </w:p>
        </w:tc>
      </w:tr>
      <w:tr>
        <w:trPr>
          <w:cantSplit/>
        </w:trPr>
        <w:tc>
          <w:tcPr>
            <w:tcW w:type="dxa" w:w="1655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未提供</w:t>
            </w:r>
          </w:p>
        </w:tc>
        <w:tc>
          <w:tcPr>
            <w:tcW w:type="dxa" w:w="39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合同没有返回该字段</w:t>
            </w:r>
          </w:p>
        </w:tc>
        <w:tc>
          <w:tcPr>
            <w:tcW w:type="dxa" w:w="460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显示未提供，不推断</w:t>
            </w:r>
          </w:p>
        </w:tc>
      </w:tr>
      <w:tr>
        <w:trPr>
          <w:cantSplit/>
        </w:trPr>
        <w:tc>
          <w:tcPr>
            <w:tcW w:type="dxa" w:w="1655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未知</w:t>
            </w:r>
          </w:p>
        </w:tc>
        <w:tc>
          <w:tcPr>
            <w:tcW w:type="dxa" w:w="39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有对象但无法计算状态</w:t>
            </w:r>
          </w:p>
        </w:tc>
        <w:tc>
          <w:tcPr>
            <w:tcW w:type="dxa" w:w="460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显示未知及原因</w:t>
            </w:r>
          </w:p>
        </w:tc>
      </w:tr>
      <w:tr>
        <w:trPr>
          <w:cantSplit/>
        </w:trPr>
        <w:tc>
          <w:tcPr>
            <w:tcW w:type="dxa" w:w="1655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部分数据</w:t>
            </w:r>
          </w:p>
        </w:tc>
        <w:tc>
          <w:tcPr>
            <w:tcW w:type="dxa" w:w="39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部分来源成功</w:t>
            </w:r>
          </w:p>
        </w:tc>
        <w:tc>
          <w:tcPr>
            <w:tcW w:type="dxa" w:w="460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显示已有事实和受影响能力</w:t>
            </w:r>
          </w:p>
        </w:tc>
      </w:tr>
      <w:tr>
        <w:trPr>
          <w:cantSplit/>
        </w:trPr>
        <w:tc>
          <w:tcPr>
            <w:tcW w:type="dxa" w:w="1655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数据陈旧</w:t>
            </w:r>
          </w:p>
        </w:tc>
        <w:tc>
          <w:tcPr>
            <w:tcW w:type="dxa" w:w="39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数据超过来源 SLA</w:t>
            </w:r>
          </w:p>
        </w:tc>
        <w:tc>
          <w:tcPr>
            <w:tcW w:type="dxa" w:w="460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显示快照时间和最近成功时间</w:t>
            </w:r>
          </w:p>
        </w:tc>
      </w:tr>
      <w:tr>
        <w:trPr>
          <w:cantSplit/>
        </w:trPr>
        <w:tc>
          <w:tcPr>
            <w:tcW w:type="dxa" w:w="1655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接口失败</w:t>
            </w:r>
          </w:p>
        </w:tc>
        <w:tc>
          <w:tcPr>
            <w:tcW w:type="dxa" w:w="39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读取请求失败</w:t>
            </w:r>
          </w:p>
        </w:tc>
        <w:tc>
          <w:tcPr>
            <w:tcW w:type="dxa" w:w="460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显示错误和重试，不显示健康空态</w:t>
            </w:r>
          </w:p>
        </w:tc>
      </w:tr>
      <w:tr>
        <w:trPr>
          <w:cantSplit/>
        </w:trPr>
        <w:tc>
          <w:tcPr>
            <w:tcW w:type="dxa" w:w="1655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无权限</w:t>
            </w:r>
          </w:p>
        </w:tc>
        <w:tc>
          <w:tcPr>
            <w:tcW w:type="dxa" w:w="39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服务端拒绝访问</w:t>
            </w:r>
          </w:p>
        </w:tc>
        <w:tc>
          <w:tcPr>
            <w:tcW w:type="dxa" w:w="460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不泄露隐藏对象名称和数量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页面至多显示一条顶层可信度提示，内容包含状态、受影响来源、受影响能力、最近成功时间以及查看影响或重试。warning code 只进入技术详情和验收证据。</w:t>
      </w:r>
    </w:p>
    <w:p>
      <w:pPr>
        <w:pStyle w:val="Heading1"/>
      </w:pPr>
      <w:r>
        <w:t>视觉系统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424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侧栏</w:t>
            </w:r>
          </w:p>
        </w:tc>
        <w:tc>
          <w:tcPr>
            <w:tcW w:type="dxa" w:w="84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168px 可读文字模式；1024 至 1279px 收敛为 64px 图标模式</w:t>
            </w:r>
          </w:p>
        </w:tc>
      </w:tr>
      <w:tr>
        <w:trPr>
          <w:cantSplit/>
        </w:trP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顶栏</w:t>
            </w:r>
          </w:p>
        </w:tc>
        <w:tc>
          <w:tcPr>
            <w:tcW w:type="dxa" w:w="84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56px；只放作用域、数据更新时间、刷新、通知和用户</w:t>
            </w:r>
          </w:p>
        </w:tc>
      </w:tr>
      <w:tr>
        <w:trPr>
          <w:cantSplit/>
        </w:trP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页面边距</w:t>
            </w:r>
          </w:p>
        </w:tc>
        <w:tc>
          <w:tcPr>
            <w:tcW w:type="dxa" w:w="84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24 至 28px；使用 8px 间距基准</w:t>
            </w:r>
          </w:p>
        </w:tc>
      </w:tr>
      <w:tr>
        <w:trPr>
          <w:cantSplit/>
        </w:trP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字体</w:t>
            </w:r>
          </w:p>
        </w:tc>
        <w:tc>
          <w:tcPr>
            <w:tcW w:type="dxa" w:w="84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页面标题 24px；分区标题 16px；正文 14px；辅助信息不低于 11px</w:t>
            </w:r>
          </w:p>
        </w:tc>
      </w:tr>
      <w:tr>
        <w:trPr>
          <w:cantSplit/>
        </w:trP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颜色</w:t>
            </w:r>
          </w:p>
        </w:tc>
        <w:tc>
          <w:tcPr>
            <w:tcW w:type="dxa" w:w="84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背景 #F5F7FA；文字 #172033；交互 #3157D5；严重 #C9362B</w:t>
            </w:r>
          </w:p>
        </w:tc>
      </w:tr>
      <w:tr>
        <w:trPr>
          <w:cantSplit/>
        </w:trP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动作</w:t>
            </w:r>
          </w:p>
        </w:tc>
        <w:tc>
          <w:tcPr>
            <w:tcW w:type="dxa" w:w="84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每个页面只有一个视觉主动作；其余使用次级按钮或行内链接</w:t>
            </w:r>
          </w:p>
        </w:tc>
      </w:tr>
      <w:tr>
        <w:trPr>
          <w:cantSplit/>
        </w:trP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表格</w:t>
            </w:r>
          </w:p>
        </w:tc>
        <w:tc>
          <w:tcPr>
            <w:tcW w:type="dxa" w:w="84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首屏最多六列；技术标识与原始数据进入详情</w:t>
            </w:r>
          </w:p>
        </w:tc>
      </w:tr>
      <w:tr>
        <w:trPr>
          <w:cantSplit/>
        </w:trP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状态</w:t>
            </w:r>
          </w:p>
        </w:tc>
        <w:tc>
          <w:tcPr>
            <w:tcW w:type="dxa" w:w="84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颜色必须同时配合文字或图标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界面禁止渐变、装饰阴影、彩虹式状态卡和卡片套卡片。标题和正文保持高对比度，信息密度通过层级和渐进详情控制。</w:t>
      </w:r>
    </w:p>
    <w:p>
      <w:pPr>
        <w:pStyle w:val="Heading1"/>
      </w:pPr>
      <w:r>
        <w:t>验收门槛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6048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门槛</w:t>
            </w:r>
          </w:p>
        </w:tc>
        <w:tc>
          <w:tcPr>
            <w:tcW w:type="dxa" w:w="2592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发布规则</w:t>
            </w:r>
          </w:p>
        </w:tc>
      </w:tr>
      <w:tr>
        <w:trPr>
          <w:cantSplit/>
        </w:trPr>
        <w:tc>
          <w:tcPr>
            <w:tcW w:type="dxa" w:w="158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信息架构</w:t>
            </w:r>
          </w:p>
        </w:tc>
        <w:tc>
          <w:tcPr>
            <w:tcW w:type="dxa" w:w="60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一级任务导航恰好五项；当前路由高亮正确</w:t>
            </w:r>
          </w:p>
        </w:tc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失败即拒绝 UI 发布</w:t>
            </w:r>
          </w:p>
        </w:tc>
      </w:tr>
      <w:tr>
        <w:trPr>
          <w:cantSplit/>
        </w:trPr>
        <w:tc>
          <w:tcPr>
            <w:tcW w:type="dxa" w:w="158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作用域</w:t>
            </w:r>
          </w:p>
        </w:tc>
        <w:tc>
          <w:tcPr>
            <w:tcW w:type="dxa" w:w="60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全平台总览无集群必选警告；系统管理显示系统范围</w:t>
            </w:r>
          </w:p>
        </w:tc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错误 Scope 为 P1</w:t>
            </w:r>
          </w:p>
        </w:tc>
      </w:tr>
      <w:tr>
        <w:trPr>
          <w:cantSplit/>
        </w:trPr>
        <w:tc>
          <w:tcPr>
            <w:tcW w:type="dxa" w:w="158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首屏表达</w:t>
            </w:r>
          </w:p>
        </w:tc>
        <w:tc>
          <w:tcPr>
            <w:tcW w:type="dxa" w:w="60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无完整 UUID 原始 ISO 时间 warning code 和未本地化错误</w:t>
            </w:r>
          </w:p>
        </w:tc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关键页任一出现即失败</w:t>
            </w:r>
          </w:p>
        </w:tc>
      </w:tr>
      <w:tr>
        <w:trPr>
          <w:cantSplit/>
        </w:trPr>
        <w:tc>
          <w:tcPr>
            <w:tcW w:type="dxa" w:w="158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交互复杂度</w:t>
            </w:r>
          </w:p>
        </w:tc>
        <w:tc>
          <w:tcPr>
            <w:tcW w:type="dxa" w:w="60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总览到调查不超过三次主要操作；调查到处置不超过两次</w:t>
            </w:r>
          </w:p>
        </w:tc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超过门槛需重设计</w:t>
            </w:r>
          </w:p>
        </w:tc>
      </w:tr>
      <w:tr>
        <w:trPr>
          <w:cantSplit/>
        </w:trPr>
        <w:tc>
          <w:tcPr>
            <w:tcW w:type="dxa" w:w="158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响应式</w:t>
            </w:r>
          </w:p>
        </w:tc>
        <w:tc>
          <w:tcPr>
            <w:tcW w:type="dxa" w:w="60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1440×900 1280×720 1024×768 1024×900 无遮挡和不可控溢出</w:t>
            </w:r>
          </w:p>
        </w:tc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任一目标视口失败即不通过</w:t>
            </w:r>
          </w:p>
        </w:tc>
      </w:tr>
      <w:tr>
        <w:trPr>
          <w:cantSplit/>
        </w:trPr>
        <w:tc>
          <w:tcPr>
            <w:tcW w:type="dxa" w:w="158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可访问性</w:t>
            </w:r>
          </w:p>
        </w:tc>
        <w:tc>
          <w:tcPr>
            <w:tcW w:type="dxa" w:w="60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键盘可完成导航 页签 抽屉和主动作；正文对比度至少 4.5 比 1</w:t>
            </w:r>
          </w:p>
        </w:tc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关键路径阻塞为 P1</w:t>
            </w:r>
          </w:p>
        </w:tc>
      </w:tr>
      <w:tr>
        <w:trPr>
          <w:cantSplit/>
        </w:trPr>
        <w:tc>
          <w:tcPr>
            <w:tcW w:type="dxa" w:w="158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真实数据</w:t>
            </w:r>
          </w:p>
        </w:tc>
        <w:tc>
          <w:tcPr>
            <w:tcW w:type="dxa" w:w="60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页面 API 和权威源在同一窗口内一致</w:t>
            </w:r>
          </w:p>
        </w:tc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Mock 或错账为 P1</w:t>
            </w:r>
          </w:p>
        </w:tc>
      </w:tr>
      <w:tr>
        <w:trPr>
          <w:cantSplit/>
        </w:trPr>
        <w:tc>
          <w:tcPr>
            <w:tcW w:type="dxa" w:w="158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AI 定位</w:t>
            </w:r>
          </w:p>
        </w:tc>
        <w:tc>
          <w:tcPr>
            <w:tcW w:type="dxa" w:w="60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有证据引用 反证 未知项 置信度和安全边界</w:t>
            </w:r>
          </w:p>
        </w:tc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确定性错判或越权为 P0 P1</w:t>
            </w:r>
          </w:p>
        </w:tc>
      </w:tr>
      <w:tr>
        <w:trPr>
          <w:cantSplit/>
        </w:trPr>
        <w:tc>
          <w:tcPr>
            <w:tcW w:type="dxa" w:w="158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处置安全</w:t>
            </w:r>
          </w:p>
        </w:tc>
        <w:tc>
          <w:tcPr>
            <w:tcW w:type="dxa" w:w="60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capability 预检 审批 ResourceVersion 回滚 审计全部生效</w:t>
            </w:r>
          </w:p>
        </w:tc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任一绕过为 P0 P1</w:t>
            </w:r>
          </w:p>
        </w:tc>
      </w:tr>
    </w:tbl>
    <w:p>
      <w:pPr>
        <w:spacing w:after="20"/>
      </w:pPr>
    </w:p>
    <w:p>
      <w:pPr>
        <w:pStyle w:val="Heading1"/>
      </w:pPr>
      <w:r>
        <w:t>实施路径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936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2736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范围</w:t>
            </w:r>
          </w:p>
        </w:tc>
        <w:tc>
          <w:tcPr>
            <w:tcW w:type="dxa" w:w="6552"/>
            <w:shd w:fill="244E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/>
                <w:i w:val="0"/>
                <w:color w:val="FFFFFF"/>
                <w:sz w:val="19"/>
              </w:rPr>
              <w:t>完成条件</w:t>
            </w:r>
          </w:p>
        </w:tc>
      </w:tr>
      <w:tr>
        <w:trPr>
          <w:cantSplit/>
        </w:trPr>
        <w:tc>
          <w:tcPr>
            <w:tcW w:type="dxa" w:w="9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27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导航与作用域</w:t>
            </w:r>
          </w:p>
        </w:tc>
        <w:tc>
          <w:tcPr>
            <w:tcW w:type="dxa" w:w="655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五工作区 路由上下文 旧深链兼容</w:t>
            </w:r>
          </w:p>
        </w:tc>
      </w:tr>
      <w:tr>
        <w:trPr>
          <w:cantSplit/>
        </w:trPr>
        <w:tc>
          <w:tcPr>
            <w:tcW w:type="dxa" w:w="9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27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视觉基础</w:t>
            </w:r>
          </w:p>
        </w:tc>
        <w:tc>
          <w:tcPr>
            <w:tcW w:type="dxa" w:w="655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统一 token 可信度横幅 相对时间 技术错误映射</w:t>
            </w:r>
          </w:p>
        </w:tc>
      </w:tr>
      <w:tr>
        <w:trPr>
          <w:cantSplit/>
        </w:trPr>
        <w:tc>
          <w:tcPr>
            <w:tcW w:type="dxa" w:w="9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27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总览</w:t>
            </w:r>
          </w:p>
        </w:tc>
        <w:tc>
          <w:tcPr>
            <w:tcW w:type="dxa" w:w="655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平台总览和集群总览任务优先重排</w:t>
            </w:r>
          </w:p>
        </w:tc>
      </w:tr>
      <w:tr>
        <w:trPr>
          <w:cantSplit/>
        </w:trPr>
        <w:tc>
          <w:tcPr>
            <w:tcW w:type="dxa" w:w="9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27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问题与证据</w:t>
            </w:r>
          </w:p>
        </w:tc>
        <w:tc>
          <w:tcPr>
            <w:tcW w:type="dxa" w:w="655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观测中心迁移为问题中心和证据抽屉</w:t>
            </w:r>
          </w:p>
        </w:tc>
      </w:tr>
      <w:tr>
        <w:trPr>
          <w:cantSplit/>
        </w:trPr>
        <w:tc>
          <w:tcPr>
            <w:tcW w:type="dxa" w:w="9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27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资源与图谱</w:t>
            </w:r>
          </w:p>
        </w:tc>
        <w:tc>
          <w:tcPr>
            <w:tcW w:type="dxa" w:w="655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六列目录 渐进详情 主画布关系图</w:t>
            </w:r>
          </w:p>
        </w:tc>
      </w:tr>
      <w:tr>
        <w:trPr>
          <w:cantSplit/>
        </w:trPr>
        <w:tc>
          <w:tcPr>
            <w:tcW w:type="dxa" w:w="9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6</w:t>
            </w:r>
          </w:p>
        </w:tc>
        <w:tc>
          <w:tcPr>
            <w:tcW w:type="dxa" w:w="27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调查与处置</w:t>
            </w:r>
          </w:p>
        </w:tc>
        <w:tc>
          <w:tcPr>
            <w:tcW w:type="dxa" w:w="655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三调查队列和五阶段动作生命周期</w:t>
            </w:r>
          </w:p>
        </w:tc>
      </w:tr>
      <w:tr>
        <w:trPr>
          <w:cantSplit/>
        </w:trPr>
        <w:tc>
          <w:tcPr>
            <w:tcW w:type="dxa" w:w="9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7</w:t>
            </w:r>
          </w:p>
        </w:tc>
        <w:tc>
          <w:tcPr>
            <w:tcW w:type="dxa" w:w="27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AI 上下文助手</w:t>
            </w:r>
          </w:p>
        </w:tc>
        <w:tc>
          <w:tcPr>
            <w:tcW w:type="dxa" w:w="655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页面上下文 结构化回答 会话历史</w:t>
            </w:r>
          </w:p>
        </w:tc>
      </w:tr>
      <w:tr>
        <w:trPr>
          <w:cantSplit/>
        </w:trPr>
        <w:tc>
          <w:tcPr>
            <w:tcW w:type="dxa" w:w="9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8</w:t>
            </w:r>
          </w:p>
        </w:tc>
        <w:tc>
          <w:tcPr>
            <w:tcW w:type="dxa" w:w="27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管理与静态门禁</w:t>
            </w:r>
          </w:p>
        </w:tc>
        <w:tc>
          <w:tcPr>
            <w:tcW w:type="dxa" w:w="655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系统问题优先页 辅助入口 前端完整测试</w:t>
            </w:r>
          </w:p>
        </w:tc>
      </w:tr>
      <w:tr>
        <w:trPr>
          <w:cantSplit/>
        </w:trPr>
        <w:tc>
          <w:tcPr>
            <w:tcW w:type="dxa" w:w="9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9</w:t>
            </w:r>
          </w:p>
        </w:tc>
        <w:tc>
          <w:tcPr>
            <w:tcW w:type="dxa" w:w="27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真实环境验收</w:t>
            </w:r>
          </w:p>
        </w:tc>
        <w:tc>
          <w:tcPr>
            <w:tcW w:type="dxa" w:w="655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 Unicode MS" w:cs="Arial Unicode MS"/>
                <w:b w:val="0"/>
                <w:i w:val="0"/>
                <w:color w:val="172033"/>
                <w:sz w:val="18"/>
              </w:rPr>
              <w:t>全新 RUN ID 数据对账 视觉 AI 安全和发布结论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文件级修改、测试命令和提交边界以 docs/superpowers/plans/2026-09-12-aiops-task-flow-ui-redesign.md 为准。完整真实环境验收以 docs/superpowers/plans/2026-09-11-aiops-full-acceptance-agent-plan.md 为准。</w:t>
      </w:r>
    </w:p>
    <w:p>
      <w:pPr>
        <w:pStyle w:val="Heading1"/>
      </w:pPr>
      <w:r>
        <w:t>后续智能体执行提示词</w:t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  <w:t>你负责实现并验收 AIOps 任务流 UI 重设计。</w:t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  <w:t>开始前必须完整阅读：</w:t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  <w:t>1. docs/superpowers/specs/2026-09-12-aiops-task-flow-ui-redesign.md</w:t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  <w:t>2. docs/superpowers/plans/2026-09-12-aiops-task-flow-ui-redesign.md</w:t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  <w:t>3. docs/superpowers/plans/2026-09-11-aiops-full-acceptance-agent-plan.md</w:t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  <w:t>严格按实施计划逐任务执行并保留检查点。旧页面只用于迁移真实后端能力和兼容路由，不得沿用旧布局作为设计依据。</w:t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  <w:t>硬约束：</w:t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  <w:t>- 不修改或伪造真实环境数据，不加入 demo、fixture、随机数或接口失败时的模拟回退。</w:t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  <w:t>- 保留 tenant 和 cluster Scope、canonical resource identity、调查持久化、处置审批、ResourceVersion、回滚和审计边界。</w:t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  <w:t>- 全平台总览与集群工作区严格分离。</w:t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  <w:t>- 一级任务导航固定为总览、问题、资源、调查、处置。AI 使用上下文抽屉。</w:t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  <w:t>- 指标、日志、Trace、事件、告警和变更是问题证据，不做七个同级一级页签。</w:t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  <w:t>- 每完成一个任务先运行定向测试、完整前端测试和构建，再记录结果。</w:t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  <w:t>- 实现完成不等于验收通过。最后必须使用全新 RUN ID 在真实环境执行完整验收，不复用历史 PASS。</w:t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</w:r>
    </w:p>
    <w:p>
      <w:pPr>
        <w:spacing w:after="60"/>
        <w:ind w:left="360" w:right="216"/>
      </w:pPr>
      <w:r>
        <w:rPr>
          <w:rFonts w:ascii="Courier New" w:hAnsi="Courier New" w:eastAsia="Courier New" w:cs="Courier New"/>
          <w:b w:val="0"/>
          <w:i w:val="0"/>
          <w:color w:val="172033"/>
          <w:sz w:val="18"/>
        </w:rPr>
        <w:t>只在用户明确授权后执行真实环境写操作、故障注入、审批、处置、删除或清理。规格发生冲突时停止冲突部分，记录章节与影响并请求用户决策。</w:t>
      </w:r>
    </w:p>
    <w:p>
      <w:pPr>
        <w:pStyle w:val="Heading1"/>
      </w:pPr>
      <w:r>
        <w:t>最终发布判断</w:t>
      </w: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后续验收只能输出 ACCEPTED 或 REJECTED。任一关键门禁为 FAIL、BLOCKED 或 NOT RUN 时，整体结论必须为 REJECTED。只有页面、功能、真实数据、后端能力覆盖、AI 故障定位、安全、性能和韧性全部通过，才能输出 ACCEPTED。</w:t>
      </w:r>
    </w:p>
    <w:p>
      <w:pPr>
        <w:keepLines w:val="0"/>
      </w:pPr>
      <w:r>
        <w:rPr>
          <w:rFonts w:ascii="Arial" w:hAnsi="Arial" w:eastAsia="Arial Unicode MS" w:cs="Arial Unicode MS"/>
          <w:b w:val="0"/>
          <w:i w:val="0"/>
          <w:color w:val="172033"/>
          <w:sz w:val="21"/>
        </w:rPr>
        <w:t>验收智能体默认只测试和报告，不直接修复代码或改变生产配置。所有真实写入、故障注入、处置、删除和清理都必须在动作发生前获得明确授权。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36" w:left="1037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 w:cs="Arial Unicode MS"/>
        <w:b w:val="0"/>
        <w:i w:val="0"/>
        <w:color w:val="5B667A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Arial Unicode MS" w:cs="Arial Unicode MS"/>
        <w:b w:val="0"/>
        <w:i w:val="0"/>
        <w:color w:val="5B66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 Unicode MS" w:cs="Arial Unicode MS"/>
        <w:b w:val="0"/>
        <w:i w:val="0"/>
        <w:color w:val="5B667A"/>
        <w:sz w:val="17"/>
      </w:rPr>
      <w:t>AIOps 平台 UI 重设计与完整验收方案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rial" w:hAnsi="Arial" w:eastAsia="Arial Unicode MS" w:cs="Arial Unicode MS"/>
      <w:b w:val="0"/>
      <w:i w:val="0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="Arial" w:hAnsi="Arial" w:eastAsia="Arial Unicode MS" w:cs="Arial Unicode MS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="Arial" w:hAnsi="Arial" w:eastAsia="Arial Unicode MS" w:cs="Arial Unicode MS"/>
      <w:b/>
      <w:bCs/>
      <w:i w:val="0"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" w:hAnsi="Arial" w:eastAsia="Arial Unicode MS" w:cs="Arial Unicode MS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="Arial" w:hAnsi="Arial" w:eastAsia="Arial Unicode MS" w:cs="Arial Unicode MS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Arial Unicode MS" w:cs="Arial Unicode MS"/>
      <w:b w:val="0"/>
      <w:i w:val="0"/>
      <w:iCs/>
      <w:color w:val="5B66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 Unicode MS" w:cs="Arial Unicode MS"/>
      <w:b w:val="0"/>
      <w:i w:val="0"/>
      <w:color w:val="172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 Unicode MS" w:cs="Arial Unicode MS"/>
      <w:b w:val="0"/>
      <w:i w:val="0"/>
      <w:color w:val="172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100" w:after="180"/>
    </w:pPr>
    <w:rPr>
      <w:rFonts w:ascii="Arial" w:hAnsi="Arial" w:eastAsia="Arial Unicode MS" w:cs="Arial Unicode MS"/>
      <w:b w:val="0"/>
      <w:bCs/>
      <w:i w:val="0"/>
      <w:color w:val="5B66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AIOps 平台 UI 重设计与完整验收方案</dc:title>
  <dc:subject>AIOps 页面重设计、智能故障定位和完整验收执行基线</dc:subject>
  <dc:creator>python-docx</dc:creator>
  <cp:keywords>AIOps UI 运维 调查 处置 AI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