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3ECA" w14:textId="77777777" w:rsidR="00BA731B" w:rsidRPr="00AA2FFC" w:rsidRDefault="00BA731B" w:rsidP="00BA731B">
      <w:pPr>
        <w:spacing w:line="276" w:lineRule="auto"/>
        <w:jc w:val="both"/>
        <w:rPr>
          <w:rFonts w:ascii="Times New Roman" w:hAnsi="Times New Roman" w:cs="Times New Roman"/>
          <w:b/>
          <w:bCs/>
          <w:sz w:val="24"/>
          <w:szCs w:val="24"/>
          <w:u w:val="single"/>
        </w:rPr>
      </w:pPr>
      <w:r w:rsidRPr="00AA2FFC">
        <w:rPr>
          <w:rFonts w:ascii="Times New Roman" w:hAnsi="Times New Roman" w:cs="Times New Roman"/>
          <w:b/>
          <w:bCs/>
          <w:sz w:val="24"/>
          <w:szCs w:val="24"/>
          <w:u w:val="single"/>
        </w:rPr>
        <w:t>About The Dataset</w:t>
      </w:r>
    </w:p>
    <w:p w14:paraId="451090B1" w14:textId="77777777" w:rsidR="00BA731B" w:rsidRPr="00AA2FFC" w:rsidRDefault="00BA731B" w:rsidP="00BA731B">
      <w:pPr>
        <w:spacing w:line="360" w:lineRule="auto"/>
        <w:jc w:val="both"/>
        <w:rPr>
          <w:rFonts w:ascii="Times New Roman" w:hAnsi="Times New Roman" w:cs="Times New Roman"/>
        </w:rPr>
      </w:pPr>
      <w:r w:rsidRPr="00AA2FFC">
        <w:rPr>
          <w:rFonts w:ascii="Times New Roman" w:hAnsi="Times New Roman" w:cs="Times New Roman"/>
        </w:rPr>
        <w:t>This dataset, A bird’s-eye view of clinical trials is from Makeover Monday 2019 week 33. The original data source is AERO Data Lab. The data analyzes all the registered clinical trials from 10 large pharmaceutical companies — AbbVie, Bayer, Gilead, GSK, Johnson &amp; Johnson, Merck, Novartis, Pfizer, Roche, and Sanofi from 1984 to 2020.</w:t>
      </w:r>
    </w:p>
    <w:p w14:paraId="278BB0D1" w14:textId="77777777" w:rsidR="00BA731B" w:rsidRPr="00AA2FFC" w:rsidRDefault="00BA731B" w:rsidP="00BA731B">
      <w:pPr>
        <w:spacing w:line="360" w:lineRule="auto"/>
        <w:jc w:val="both"/>
        <w:rPr>
          <w:rFonts w:ascii="Times New Roman" w:hAnsi="Times New Roman" w:cs="Times New Roman"/>
        </w:rPr>
      </w:pPr>
      <w:r w:rsidRPr="00AA2FFC">
        <w:rPr>
          <w:rFonts w:ascii="Times New Roman" w:hAnsi="Times New Roman" w:cs="Times New Roman"/>
        </w:rPr>
        <w:t xml:space="preserve">Link to the Makeover Monday visualization: </w:t>
      </w:r>
      <w:hyperlink r:id="rId5" w:history="1">
        <w:r w:rsidRPr="00AA2FFC">
          <w:rPr>
            <w:rStyle w:val="Hyperlink"/>
            <w:rFonts w:ascii="Times New Roman" w:hAnsi="Times New Roman" w:cs="Times New Roman"/>
          </w:rPr>
          <w:t>https://data.world/makeovermonday/2019w33</w:t>
        </w:r>
      </w:hyperlink>
      <w:r w:rsidRPr="00AA2FFC">
        <w:rPr>
          <w:rFonts w:ascii="Times New Roman" w:hAnsi="Times New Roman" w:cs="Times New Roman"/>
        </w:rPr>
        <w:t xml:space="preserve"> </w:t>
      </w:r>
    </w:p>
    <w:p w14:paraId="350B0596" w14:textId="77777777" w:rsidR="00BA731B" w:rsidRPr="00AA2FFC" w:rsidRDefault="00BA731B" w:rsidP="00BA731B">
      <w:pPr>
        <w:spacing w:line="360" w:lineRule="auto"/>
        <w:jc w:val="both"/>
        <w:rPr>
          <w:rFonts w:ascii="Times New Roman" w:hAnsi="Times New Roman" w:cs="Times New Roman"/>
        </w:rPr>
      </w:pPr>
      <w:r w:rsidRPr="00AA2FFC">
        <w:rPr>
          <w:rFonts w:ascii="Times New Roman" w:hAnsi="Times New Roman" w:cs="Times New Roman"/>
        </w:rPr>
        <w:t xml:space="preserve">Link to original source: </w:t>
      </w:r>
      <w:hyperlink r:id="rId6" w:history="1">
        <w:r w:rsidRPr="00AA2FFC">
          <w:rPr>
            <w:rStyle w:val="Hyperlink"/>
            <w:rFonts w:ascii="Times New Roman" w:hAnsi="Times New Roman" w:cs="Times New Roman"/>
          </w:rPr>
          <w:t>https://www.aerodatalab.org/birds-eye-view-of-research-landscape</w:t>
        </w:r>
      </w:hyperlink>
      <w:r w:rsidRPr="00AA2FFC">
        <w:rPr>
          <w:rFonts w:ascii="Times New Roman" w:hAnsi="Times New Roman" w:cs="Times New Roman"/>
        </w:rPr>
        <w:t xml:space="preserve"> </w:t>
      </w:r>
    </w:p>
    <w:p w14:paraId="02E22629" w14:textId="77777777" w:rsidR="00BA731B" w:rsidRPr="00AA2FFC" w:rsidRDefault="00BA731B" w:rsidP="00BA731B">
      <w:pPr>
        <w:spacing w:line="360" w:lineRule="auto"/>
        <w:jc w:val="both"/>
        <w:rPr>
          <w:rFonts w:ascii="Times New Roman" w:hAnsi="Times New Roman" w:cs="Times New Roman"/>
          <w:b/>
          <w:bCs/>
        </w:rPr>
      </w:pPr>
      <w:r w:rsidRPr="00AA2FFC">
        <w:rPr>
          <w:rFonts w:ascii="Times New Roman" w:hAnsi="Times New Roman" w:cs="Times New Roman"/>
        </w:rPr>
        <w:t xml:space="preserve">Total number of records: </w:t>
      </w:r>
      <w:r w:rsidRPr="00AA2FFC">
        <w:rPr>
          <w:rFonts w:ascii="Times New Roman" w:hAnsi="Times New Roman" w:cs="Times New Roman"/>
          <w:b/>
          <w:bCs/>
        </w:rPr>
        <w:t>13,748</w:t>
      </w:r>
    </w:p>
    <w:tbl>
      <w:tblPr>
        <w:tblStyle w:val="TableGrid"/>
        <w:tblW w:w="8995" w:type="dxa"/>
        <w:jc w:val="center"/>
        <w:tblLook w:val="04A0" w:firstRow="1" w:lastRow="0" w:firstColumn="1" w:lastColumn="0" w:noHBand="0" w:noVBand="1"/>
      </w:tblPr>
      <w:tblGrid>
        <w:gridCol w:w="1885"/>
        <w:gridCol w:w="1260"/>
        <w:gridCol w:w="5850"/>
      </w:tblGrid>
      <w:tr w:rsidR="00BA731B" w:rsidRPr="00AA2FFC" w14:paraId="1175B574" w14:textId="77777777" w:rsidTr="00420EFF">
        <w:trPr>
          <w:jc w:val="center"/>
        </w:trPr>
        <w:tc>
          <w:tcPr>
            <w:tcW w:w="1885" w:type="dxa"/>
          </w:tcPr>
          <w:p w14:paraId="38DE9E21" w14:textId="77777777" w:rsidR="00BA731B" w:rsidRPr="00AA2FFC" w:rsidRDefault="00BA731B" w:rsidP="00420EFF">
            <w:pPr>
              <w:rPr>
                <w:rFonts w:ascii="Times New Roman" w:hAnsi="Times New Roman" w:cs="Times New Roman"/>
                <w:b/>
                <w:bCs/>
              </w:rPr>
            </w:pPr>
            <w:r w:rsidRPr="00AA2FFC">
              <w:rPr>
                <w:rFonts w:ascii="Times New Roman" w:hAnsi="Times New Roman" w:cs="Times New Roman"/>
                <w:b/>
                <w:bCs/>
              </w:rPr>
              <w:t>Columns</w:t>
            </w:r>
          </w:p>
        </w:tc>
        <w:tc>
          <w:tcPr>
            <w:tcW w:w="1260" w:type="dxa"/>
          </w:tcPr>
          <w:p w14:paraId="4F652A69" w14:textId="77777777" w:rsidR="00BA731B" w:rsidRPr="00AA2FFC" w:rsidRDefault="00BA731B" w:rsidP="00420EFF">
            <w:pPr>
              <w:rPr>
                <w:rFonts w:ascii="Times New Roman" w:hAnsi="Times New Roman" w:cs="Times New Roman"/>
                <w:b/>
                <w:bCs/>
              </w:rPr>
            </w:pPr>
            <w:r w:rsidRPr="00AA2FFC">
              <w:rPr>
                <w:rFonts w:ascii="Times New Roman" w:hAnsi="Times New Roman" w:cs="Times New Roman"/>
                <w:b/>
                <w:bCs/>
              </w:rPr>
              <w:t>Datatype</w:t>
            </w:r>
          </w:p>
        </w:tc>
        <w:tc>
          <w:tcPr>
            <w:tcW w:w="5850" w:type="dxa"/>
          </w:tcPr>
          <w:p w14:paraId="7718E77E" w14:textId="77777777" w:rsidR="00BA731B" w:rsidRPr="00AA2FFC" w:rsidRDefault="00BA731B" w:rsidP="00420EFF">
            <w:pPr>
              <w:rPr>
                <w:rFonts w:ascii="Times New Roman" w:hAnsi="Times New Roman" w:cs="Times New Roman"/>
                <w:b/>
                <w:bCs/>
              </w:rPr>
            </w:pPr>
            <w:r w:rsidRPr="00AA2FFC">
              <w:rPr>
                <w:rFonts w:ascii="Times New Roman" w:hAnsi="Times New Roman" w:cs="Times New Roman"/>
                <w:b/>
                <w:bCs/>
              </w:rPr>
              <w:t>Data Description</w:t>
            </w:r>
          </w:p>
        </w:tc>
      </w:tr>
      <w:tr w:rsidR="00BA731B" w:rsidRPr="00AA2FFC" w14:paraId="353D6323" w14:textId="77777777" w:rsidTr="00420EFF">
        <w:trPr>
          <w:jc w:val="center"/>
        </w:trPr>
        <w:tc>
          <w:tcPr>
            <w:tcW w:w="1885" w:type="dxa"/>
          </w:tcPr>
          <w:p w14:paraId="6BBECD2C"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NCT</w:t>
            </w:r>
          </w:p>
        </w:tc>
        <w:tc>
          <w:tcPr>
            <w:tcW w:w="1260" w:type="dxa"/>
          </w:tcPr>
          <w:p w14:paraId="11D20D5E"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String</w:t>
            </w:r>
          </w:p>
        </w:tc>
        <w:tc>
          <w:tcPr>
            <w:tcW w:w="5850" w:type="dxa"/>
          </w:tcPr>
          <w:p w14:paraId="425796B5"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Unique id</w:t>
            </w:r>
            <w:r>
              <w:rPr>
                <w:rFonts w:ascii="Times New Roman" w:hAnsi="Times New Roman" w:cs="Times New Roman"/>
              </w:rPr>
              <w:t xml:space="preserve"> for the trial</w:t>
            </w:r>
          </w:p>
        </w:tc>
      </w:tr>
      <w:tr w:rsidR="00BA731B" w:rsidRPr="00AA2FFC" w14:paraId="401B6E0E" w14:textId="77777777" w:rsidTr="00420EFF">
        <w:trPr>
          <w:jc w:val="center"/>
        </w:trPr>
        <w:tc>
          <w:tcPr>
            <w:tcW w:w="1885" w:type="dxa"/>
          </w:tcPr>
          <w:p w14:paraId="0F111733"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Sponsor</w:t>
            </w:r>
          </w:p>
        </w:tc>
        <w:tc>
          <w:tcPr>
            <w:tcW w:w="1260" w:type="dxa"/>
          </w:tcPr>
          <w:p w14:paraId="1DB3BF12"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String</w:t>
            </w:r>
          </w:p>
        </w:tc>
        <w:tc>
          <w:tcPr>
            <w:tcW w:w="5850" w:type="dxa"/>
          </w:tcPr>
          <w:p w14:paraId="13B5CA37"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Name of sponsor (10 sponsors)</w:t>
            </w:r>
          </w:p>
        </w:tc>
      </w:tr>
      <w:tr w:rsidR="00BA731B" w:rsidRPr="00AA2FFC" w14:paraId="47622C36" w14:textId="77777777" w:rsidTr="00420EFF">
        <w:trPr>
          <w:jc w:val="center"/>
        </w:trPr>
        <w:tc>
          <w:tcPr>
            <w:tcW w:w="1885" w:type="dxa"/>
          </w:tcPr>
          <w:p w14:paraId="7759F343"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Title</w:t>
            </w:r>
          </w:p>
        </w:tc>
        <w:tc>
          <w:tcPr>
            <w:tcW w:w="1260" w:type="dxa"/>
          </w:tcPr>
          <w:p w14:paraId="50D64BEC"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String</w:t>
            </w:r>
          </w:p>
        </w:tc>
        <w:tc>
          <w:tcPr>
            <w:tcW w:w="5850" w:type="dxa"/>
          </w:tcPr>
          <w:p w14:paraId="482B7CDE"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Title of the trial</w:t>
            </w:r>
          </w:p>
        </w:tc>
      </w:tr>
      <w:tr w:rsidR="00BA731B" w:rsidRPr="00AA2FFC" w14:paraId="4524A33C" w14:textId="77777777" w:rsidTr="00420EFF">
        <w:trPr>
          <w:jc w:val="center"/>
        </w:trPr>
        <w:tc>
          <w:tcPr>
            <w:tcW w:w="1885" w:type="dxa"/>
          </w:tcPr>
          <w:p w14:paraId="1C46EC1C"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Summary</w:t>
            </w:r>
          </w:p>
        </w:tc>
        <w:tc>
          <w:tcPr>
            <w:tcW w:w="1260" w:type="dxa"/>
          </w:tcPr>
          <w:p w14:paraId="67DCB580"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String</w:t>
            </w:r>
          </w:p>
        </w:tc>
        <w:tc>
          <w:tcPr>
            <w:tcW w:w="5850" w:type="dxa"/>
          </w:tcPr>
          <w:p w14:paraId="192BECB5"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Summary of the trial</w:t>
            </w:r>
          </w:p>
        </w:tc>
      </w:tr>
      <w:tr w:rsidR="00BA731B" w:rsidRPr="00AA2FFC" w14:paraId="3F6E9A63" w14:textId="77777777" w:rsidTr="00420EFF">
        <w:trPr>
          <w:jc w:val="center"/>
        </w:trPr>
        <w:tc>
          <w:tcPr>
            <w:tcW w:w="1885" w:type="dxa"/>
          </w:tcPr>
          <w:p w14:paraId="29971994" w14:textId="77777777" w:rsidR="00BA731B" w:rsidRPr="00AA2FFC" w:rsidRDefault="00BA731B" w:rsidP="00420EFF">
            <w:pPr>
              <w:rPr>
                <w:rFonts w:ascii="Times New Roman" w:hAnsi="Times New Roman" w:cs="Times New Roman"/>
              </w:rPr>
            </w:pPr>
            <w:proofErr w:type="spellStart"/>
            <w:r w:rsidRPr="00AA2FFC">
              <w:rPr>
                <w:rFonts w:ascii="Times New Roman" w:hAnsi="Times New Roman" w:cs="Times New Roman"/>
              </w:rPr>
              <w:t>Start_Year</w:t>
            </w:r>
            <w:proofErr w:type="spellEnd"/>
          </w:p>
        </w:tc>
        <w:tc>
          <w:tcPr>
            <w:tcW w:w="1260" w:type="dxa"/>
          </w:tcPr>
          <w:p w14:paraId="24BD0202"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Year</w:t>
            </w:r>
          </w:p>
        </w:tc>
        <w:tc>
          <w:tcPr>
            <w:tcW w:w="5850" w:type="dxa"/>
          </w:tcPr>
          <w:p w14:paraId="0202C5E5"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Trial starting year</w:t>
            </w:r>
            <w:r>
              <w:rPr>
                <w:rFonts w:ascii="Times New Roman" w:hAnsi="Times New Roman" w:cs="Times New Roman"/>
              </w:rPr>
              <w:t xml:space="preserve"> (1984 – 2020)</w:t>
            </w:r>
          </w:p>
        </w:tc>
      </w:tr>
      <w:tr w:rsidR="00BA731B" w:rsidRPr="00AA2FFC" w14:paraId="5ABA4922" w14:textId="77777777" w:rsidTr="00420EFF">
        <w:trPr>
          <w:jc w:val="center"/>
        </w:trPr>
        <w:tc>
          <w:tcPr>
            <w:tcW w:w="1885" w:type="dxa"/>
          </w:tcPr>
          <w:p w14:paraId="1125AAA7" w14:textId="77777777" w:rsidR="00BA731B" w:rsidRPr="00AA2FFC" w:rsidRDefault="00BA731B" w:rsidP="00420EFF">
            <w:pPr>
              <w:rPr>
                <w:rFonts w:ascii="Times New Roman" w:hAnsi="Times New Roman" w:cs="Times New Roman"/>
              </w:rPr>
            </w:pPr>
            <w:proofErr w:type="spellStart"/>
            <w:r w:rsidRPr="00AA2FFC">
              <w:rPr>
                <w:rFonts w:ascii="Times New Roman" w:hAnsi="Times New Roman" w:cs="Times New Roman"/>
              </w:rPr>
              <w:t>Start_Month</w:t>
            </w:r>
            <w:proofErr w:type="spellEnd"/>
          </w:p>
        </w:tc>
        <w:tc>
          <w:tcPr>
            <w:tcW w:w="1260" w:type="dxa"/>
          </w:tcPr>
          <w:p w14:paraId="6D10753F"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Integer</w:t>
            </w:r>
          </w:p>
        </w:tc>
        <w:tc>
          <w:tcPr>
            <w:tcW w:w="5850" w:type="dxa"/>
          </w:tcPr>
          <w:p w14:paraId="2B6EF503"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Trial starting month</w:t>
            </w:r>
          </w:p>
        </w:tc>
      </w:tr>
      <w:tr w:rsidR="00BA731B" w:rsidRPr="00AA2FFC" w14:paraId="0452D864" w14:textId="77777777" w:rsidTr="00420EFF">
        <w:trPr>
          <w:jc w:val="center"/>
        </w:trPr>
        <w:tc>
          <w:tcPr>
            <w:tcW w:w="1885" w:type="dxa"/>
          </w:tcPr>
          <w:p w14:paraId="37947D69"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Phase</w:t>
            </w:r>
          </w:p>
        </w:tc>
        <w:tc>
          <w:tcPr>
            <w:tcW w:w="1260" w:type="dxa"/>
          </w:tcPr>
          <w:p w14:paraId="569BF9BD"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String</w:t>
            </w:r>
          </w:p>
        </w:tc>
        <w:tc>
          <w:tcPr>
            <w:tcW w:w="5850" w:type="dxa"/>
          </w:tcPr>
          <w:p w14:paraId="38C8A446"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Phase of the trial</w:t>
            </w:r>
          </w:p>
        </w:tc>
      </w:tr>
      <w:tr w:rsidR="00BA731B" w:rsidRPr="00AA2FFC" w14:paraId="017E03EB" w14:textId="77777777" w:rsidTr="00420EFF">
        <w:trPr>
          <w:jc w:val="center"/>
        </w:trPr>
        <w:tc>
          <w:tcPr>
            <w:tcW w:w="1885" w:type="dxa"/>
          </w:tcPr>
          <w:p w14:paraId="79442853"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Enrollment</w:t>
            </w:r>
          </w:p>
        </w:tc>
        <w:tc>
          <w:tcPr>
            <w:tcW w:w="1260" w:type="dxa"/>
          </w:tcPr>
          <w:p w14:paraId="46CBFA9A"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Integer</w:t>
            </w:r>
          </w:p>
        </w:tc>
        <w:tc>
          <w:tcPr>
            <w:tcW w:w="5850" w:type="dxa"/>
          </w:tcPr>
          <w:p w14:paraId="1A59C8EE"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Number of people enrolled in the trial</w:t>
            </w:r>
          </w:p>
        </w:tc>
      </w:tr>
      <w:tr w:rsidR="00BA731B" w:rsidRPr="00AA2FFC" w14:paraId="115BCCE4" w14:textId="77777777" w:rsidTr="00420EFF">
        <w:trPr>
          <w:jc w:val="center"/>
        </w:trPr>
        <w:tc>
          <w:tcPr>
            <w:tcW w:w="1885" w:type="dxa"/>
          </w:tcPr>
          <w:p w14:paraId="5A68FD5A"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Status</w:t>
            </w:r>
          </w:p>
        </w:tc>
        <w:tc>
          <w:tcPr>
            <w:tcW w:w="1260" w:type="dxa"/>
          </w:tcPr>
          <w:p w14:paraId="08CC3B45"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String</w:t>
            </w:r>
          </w:p>
        </w:tc>
        <w:tc>
          <w:tcPr>
            <w:tcW w:w="5850" w:type="dxa"/>
          </w:tcPr>
          <w:p w14:paraId="1E0A6F48"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Status of the trial</w:t>
            </w:r>
          </w:p>
        </w:tc>
      </w:tr>
      <w:tr w:rsidR="00BA731B" w:rsidRPr="00AA2FFC" w14:paraId="0710C082" w14:textId="77777777" w:rsidTr="00420EFF">
        <w:trPr>
          <w:jc w:val="center"/>
        </w:trPr>
        <w:tc>
          <w:tcPr>
            <w:tcW w:w="1885" w:type="dxa"/>
          </w:tcPr>
          <w:p w14:paraId="09CFEEFE"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Condition</w:t>
            </w:r>
          </w:p>
        </w:tc>
        <w:tc>
          <w:tcPr>
            <w:tcW w:w="1260" w:type="dxa"/>
          </w:tcPr>
          <w:p w14:paraId="0910478A"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String</w:t>
            </w:r>
          </w:p>
        </w:tc>
        <w:tc>
          <w:tcPr>
            <w:tcW w:w="5850" w:type="dxa"/>
          </w:tcPr>
          <w:p w14:paraId="509534A0" w14:textId="77777777" w:rsidR="00BA731B" w:rsidRPr="00AA2FFC" w:rsidRDefault="00BA731B" w:rsidP="00420EFF">
            <w:pPr>
              <w:rPr>
                <w:rFonts w:ascii="Times New Roman" w:hAnsi="Times New Roman" w:cs="Times New Roman"/>
              </w:rPr>
            </w:pPr>
            <w:r w:rsidRPr="00AA2FFC">
              <w:rPr>
                <w:rFonts w:ascii="Times New Roman" w:hAnsi="Times New Roman" w:cs="Times New Roman"/>
              </w:rPr>
              <w:t>The health condition on which the clinical trial is conducted</w:t>
            </w:r>
          </w:p>
        </w:tc>
      </w:tr>
    </w:tbl>
    <w:p w14:paraId="28B601A9" w14:textId="77777777" w:rsidR="00BA731B" w:rsidRDefault="00BA731B" w:rsidP="00BA731B">
      <w:pPr>
        <w:spacing w:after="0" w:line="240" w:lineRule="auto"/>
        <w:jc w:val="both"/>
        <w:rPr>
          <w:rFonts w:ascii="Times New Roman" w:hAnsi="Times New Roman" w:cs="Times New Roman"/>
          <w:b/>
          <w:bCs/>
          <w:sz w:val="32"/>
          <w:szCs w:val="32"/>
          <w:u w:val="single"/>
        </w:rPr>
      </w:pPr>
    </w:p>
    <w:p w14:paraId="696A8057" w14:textId="77777777" w:rsidR="00BA731B" w:rsidRPr="00AA2FFC" w:rsidRDefault="00BA731B" w:rsidP="00BA731B">
      <w:pPr>
        <w:spacing w:line="360" w:lineRule="auto"/>
        <w:jc w:val="both"/>
        <w:rPr>
          <w:rFonts w:ascii="Times New Roman" w:hAnsi="Times New Roman" w:cs="Times New Roman"/>
          <w:b/>
          <w:bCs/>
          <w:sz w:val="24"/>
          <w:szCs w:val="24"/>
          <w:u w:val="single"/>
        </w:rPr>
      </w:pPr>
      <w:r w:rsidRPr="00AA2FFC">
        <w:rPr>
          <w:rFonts w:ascii="Times New Roman" w:hAnsi="Times New Roman" w:cs="Times New Roman"/>
          <w:b/>
          <w:bCs/>
          <w:sz w:val="24"/>
          <w:szCs w:val="24"/>
          <w:u w:val="single"/>
        </w:rPr>
        <w:t>Initial Visualization</w:t>
      </w:r>
    </w:p>
    <w:p w14:paraId="35CA828A" w14:textId="77777777" w:rsidR="00BA731B" w:rsidRPr="007F07A9" w:rsidRDefault="00BA731B" w:rsidP="00BA731B">
      <w:pPr>
        <w:spacing w:line="360" w:lineRule="auto"/>
        <w:jc w:val="center"/>
        <w:rPr>
          <w:rFonts w:ascii="Times New Roman" w:hAnsi="Times New Roman" w:cs="Times New Roman"/>
          <w:sz w:val="24"/>
          <w:szCs w:val="24"/>
        </w:rPr>
      </w:pPr>
      <w:r w:rsidRPr="00EB63D2">
        <w:rPr>
          <w:rFonts w:ascii="Times New Roman" w:hAnsi="Times New Roman" w:cs="Times New Roman"/>
          <w:noProof/>
        </w:rPr>
        <w:drawing>
          <wp:inline distT="0" distB="0" distL="0" distR="0" wp14:anchorId="5050CB5E" wp14:editId="4696A94B">
            <wp:extent cx="4866593" cy="2999509"/>
            <wp:effectExtent l="0" t="0" r="0"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2076" cy="3021379"/>
                    </a:xfrm>
                    <a:prstGeom prst="rect">
                      <a:avLst/>
                    </a:prstGeom>
                    <a:noFill/>
                    <a:ln>
                      <a:noFill/>
                    </a:ln>
                  </pic:spPr>
                </pic:pic>
              </a:graphicData>
            </a:graphic>
          </wp:inline>
        </w:drawing>
      </w:r>
    </w:p>
    <w:p w14:paraId="34FEC86B" w14:textId="77777777" w:rsidR="00BA731B" w:rsidRPr="00AA2FFC" w:rsidRDefault="00BA731B" w:rsidP="00BA731B">
      <w:pPr>
        <w:pStyle w:val="ListParagraph"/>
        <w:spacing w:line="360" w:lineRule="auto"/>
        <w:ind w:left="0"/>
        <w:jc w:val="both"/>
        <w:rPr>
          <w:rFonts w:ascii="Times New Roman" w:hAnsi="Times New Roman" w:cs="Times New Roman"/>
        </w:rPr>
      </w:pPr>
      <w:r w:rsidRPr="00AA2FFC">
        <w:rPr>
          <w:rFonts w:ascii="Times New Roman" w:hAnsi="Times New Roman" w:cs="Times New Roman"/>
        </w:rPr>
        <w:lastRenderedPageBreak/>
        <w:t>Every node corresponds to a registered trial from one of the 10 companies. Trials are then organized from oldest to newest on the x-axis and by patient population or disease under study on the y-axis. The color of a node indicates the company. The shape indicates the trial’s status — completed studies are circles, recruiting studies are triangles, terminated studies have an “x” through them — and the size represents the number of patients enrolled. (Skerrett, 2019)</w:t>
      </w:r>
    </w:p>
    <w:p w14:paraId="2D5B7402" w14:textId="77777777" w:rsidR="00BA731B" w:rsidRPr="00AA2FFC" w:rsidRDefault="00BA731B" w:rsidP="00BA731B">
      <w:pPr>
        <w:spacing w:line="360" w:lineRule="auto"/>
        <w:jc w:val="both"/>
        <w:rPr>
          <w:rFonts w:ascii="Times New Roman" w:hAnsi="Times New Roman" w:cs="Times New Roman"/>
          <w:b/>
          <w:bCs/>
          <w:sz w:val="24"/>
          <w:szCs w:val="24"/>
          <w:u w:val="single"/>
        </w:rPr>
      </w:pPr>
      <w:r w:rsidRPr="00AA2FFC">
        <w:rPr>
          <w:rFonts w:ascii="Times New Roman" w:hAnsi="Times New Roman" w:cs="Times New Roman"/>
          <w:b/>
          <w:bCs/>
          <w:sz w:val="24"/>
          <w:szCs w:val="24"/>
          <w:u w:val="single"/>
        </w:rPr>
        <w:t xml:space="preserve">Positive Aspects </w:t>
      </w:r>
      <w:proofErr w:type="gramStart"/>
      <w:r w:rsidRPr="00AA2FFC">
        <w:rPr>
          <w:rFonts w:ascii="Times New Roman" w:hAnsi="Times New Roman" w:cs="Times New Roman"/>
          <w:b/>
          <w:bCs/>
          <w:sz w:val="24"/>
          <w:szCs w:val="24"/>
          <w:u w:val="single"/>
        </w:rPr>
        <w:t>Of</w:t>
      </w:r>
      <w:proofErr w:type="gramEnd"/>
      <w:r w:rsidRPr="00AA2FFC">
        <w:rPr>
          <w:rFonts w:ascii="Times New Roman" w:hAnsi="Times New Roman" w:cs="Times New Roman"/>
          <w:b/>
          <w:bCs/>
          <w:sz w:val="24"/>
          <w:szCs w:val="24"/>
          <w:u w:val="single"/>
        </w:rPr>
        <w:t xml:space="preserve"> The Visualization</w:t>
      </w:r>
    </w:p>
    <w:p w14:paraId="287E40FA" w14:textId="77777777" w:rsidR="00BA731B" w:rsidRPr="00AA2FFC" w:rsidRDefault="00BA731B" w:rsidP="00BA731B">
      <w:pPr>
        <w:pStyle w:val="ListParagraph"/>
        <w:numPr>
          <w:ilvl w:val="0"/>
          <w:numId w:val="3"/>
        </w:numPr>
        <w:spacing w:line="360" w:lineRule="auto"/>
        <w:jc w:val="both"/>
        <w:rPr>
          <w:rFonts w:ascii="Times New Roman" w:hAnsi="Times New Roman" w:cs="Times New Roman"/>
        </w:rPr>
      </w:pPr>
      <w:r w:rsidRPr="00AA2FFC">
        <w:rPr>
          <w:rFonts w:ascii="Times New Roman" w:hAnsi="Times New Roman" w:cs="Times New Roman"/>
        </w:rPr>
        <w:t>From a simple glance, the chart reveals the incredible volume of research that has been undertaken.</w:t>
      </w:r>
    </w:p>
    <w:p w14:paraId="0E8F7EE8" w14:textId="77777777" w:rsidR="00BA731B" w:rsidRPr="00AA2FFC" w:rsidRDefault="00BA731B" w:rsidP="00BA731B">
      <w:pPr>
        <w:pStyle w:val="ListParagraph"/>
        <w:numPr>
          <w:ilvl w:val="0"/>
          <w:numId w:val="3"/>
        </w:numPr>
        <w:spacing w:line="360" w:lineRule="auto"/>
        <w:jc w:val="both"/>
        <w:rPr>
          <w:rFonts w:ascii="Times New Roman" w:hAnsi="Times New Roman" w:cs="Times New Roman"/>
        </w:rPr>
      </w:pPr>
      <w:r w:rsidRPr="00AA2FFC">
        <w:rPr>
          <w:rFonts w:ascii="Times New Roman" w:hAnsi="Times New Roman" w:cs="Times New Roman"/>
        </w:rPr>
        <w:t>A single chart is used to represent all details about the clinical trials that took place from 1984 to 2020. Users can get all details just by zooming in or hovering over the bubbles without any additional filters.</w:t>
      </w:r>
    </w:p>
    <w:p w14:paraId="320433B8" w14:textId="77777777" w:rsidR="00BA731B" w:rsidRPr="00AA2FFC" w:rsidRDefault="00BA731B" w:rsidP="00BA731B">
      <w:pPr>
        <w:pStyle w:val="ListParagraph"/>
        <w:numPr>
          <w:ilvl w:val="0"/>
          <w:numId w:val="3"/>
        </w:numPr>
        <w:spacing w:line="360" w:lineRule="auto"/>
        <w:jc w:val="both"/>
        <w:rPr>
          <w:rFonts w:ascii="Times New Roman" w:hAnsi="Times New Roman" w:cs="Times New Roman"/>
        </w:rPr>
      </w:pPr>
      <w:r w:rsidRPr="00AA2FFC">
        <w:rPr>
          <w:rFonts w:ascii="Times New Roman" w:hAnsi="Times New Roman" w:cs="Times New Roman"/>
        </w:rPr>
        <w:t>The tooltip includes all details about a particular trial and when user clicks on the bubble, they are redirected to the corresponding trial’s website.</w:t>
      </w:r>
    </w:p>
    <w:p w14:paraId="6640DE7A" w14:textId="77777777" w:rsidR="00BA731B" w:rsidRPr="00AA2FFC" w:rsidRDefault="00BA731B" w:rsidP="00BA731B">
      <w:pPr>
        <w:pStyle w:val="ListParagraph"/>
        <w:numPr>
          <w:ilvl w:val="0"/>
          <w:numId w:val="3"/>
        </w:numPr>
        <w:spacing w:line="360" w:lineRule="auto"/>
        <w:jc w:val="both"/>
        <w:rPr>
          <w:rFonts w:ascii="Times New Roman" w:hAnsi="Times New Roman" w:cs="Times New Roman"/>
        </w:rPr>
      </w:pPr>
      <w:r w:rsidRPr="00AA2FFC">
        <w:rPr>
          <w:rFonts w:ascii="Times New Roman" w:hAnsi="Times New Roman" w:cs="Times New Roman"/>
        </w:rPr>
        <w:t>The size and concentration of bubbles helps to understand which the active or less active areas of experiment are based on the concentration of bubbles in an area.</w:t>
      </w:r>
    </w:p>
    <w:p w14:paraId="61A3D6D8" w14:textId="77777777" w:rsidR="00BA731B" w:rsidRPr="00C00A47" w:rsidRDefault="00BA731B" w:rsidP="00BA731B">
      <w:pPr>
        <w:spacing w:line="360" w:lineRule="auto"/>
        <w:jc w:val="both"/>
        <w:rPr>
          <w:rFonts w:ascii="Times New Roman" w:hAnsi="Times New Roman" w:cs="Times New Roman"/>
          <w:b/>
          <w:bCs/>
          <w:sz w:val="28"/>
          <w:szCs w:val="28"/>
          <w:u w:val="single"/>
        </w:rPr>
      </w:pPr>
      <w:r w:rsidRPr="00C00A47">
        <w:rPr>
          <w:rFonts w:ascii="Times New Roman" w:hAnsi="Times New Roman" w:cs="Times New Roman"/>
          <w:b/>
          <w:bCs/>
          <w:sz w:val="28"/>
          <w:szCs w:val="28"/>
          <w:u w:val="single"/>
        </w:rPr>
        <w:t xml:space="preserve">Critique Of </w:t>
      </w:r>
      <w:proofErr w:type="gramStart"/>
      <w:r w:rsidRPr="00C00A47">
        <w:rPr>
          <w:rFonts w:ascii="Times New Roman" w:hAnsi="Times New Roman" w:cs="Times New Roman"/>
          <w:b/>
          <w:bCs/>
          <w:sz w:val="28"/>
          <w:szCs w:val="28"/>
          <w:u w:val="single"/>
        </w:rPr>
        <w:t>The</w:t>
      </w:r>
      <w:proofErr w:type="gramEnd"/>
      <w:r w:rsidRPr="00C00A47">
        <w:rPr>
          <w:rFonts w:ascii="Times New Roman" w:hAnsi="Times New Roman" w:cs="Times New Roman"/>
          <w:b/>
          <w:bCs/>
          <w:sz w:val="28"/>
          <w:szCs w:val="28"/>
          <w:u w:val="single"/>
        </w:rPr>
        <w:t xml:space="preserve"> Visualization</w:t>
      </w:r>
    </w:p>
    <w:p w14:paraId="65760537" w14:textId="77777777" w:rsidR="00BA731B" w:rsidRPr="00AA2FFC" w:rsidRDefault="00BA731B" w:rsidP="00BA731B">
      <w:pPr>
        <w:pStyle w:val="ListParagraph"/>
        <w:numPr>
          <w:ilvl w:val="0"/>
          <w:numId w:val="1"/>
        </w:numPr>
        <w:spacing w:line="360" w:lineRule="auto"/>
        <w:jc w:val="both"/>
        <w:rPr>
          <w:rFonts w:ascii="Times New Roman" w:hAnsi="Times New Roman" w:cs="Times New Roman"/>
        </w:rPr>
      </w:pPr>
      <w:r w:rsidRPr="00AA2FFC">
        <w:rPr>
          <w:rFonts w:ascii="Times New Roman" w:hAnsi="Times New Roman" w:cs="Times New Roman"/>
          <w:i/>
          <w:iCs/>
        </w:rPr>
        <w:t>Design:</w:t>
      </w:r>
      <w:r w:rsidRPr="00AA2FFC">
        <w:rPr>
          <w:rFonts w:ascii="Times New Roman" w:hAnsi="Times New Roman" w:cs="Times New Roman"/>
        </w:rPr>
        <w:t xml:space="preserve"> The initial visualization is very complex and overcrowded by trying to include every detail of over 13000 trials in a single chart without any filters. Since most of the bubbles are overlapping in the chart the colors, size and shape are not helpful to distinguish between the different trials and is making the data incomprehensible. The image added here is only a part of the actual visualization as the complete one is very long.</w:t>
      </w:r>
    </w:p>
    <w:p w14:paraId="7BB30CA2" w14:textId="77777777" w:rsidR="00BA731B" w:rsidRPr="00AA2FFC" w:rsidRDefault="00BA731B" w:rsidP="00BA731B">
      <w:pPr>
        <w:pStyle w:val="ListParagraph"/>
        <w:numPr>
          <w:ilvl w:val="0"/>
          <w:numId w:val="1"/>
        </w:numPr>
        <w:spacing w:line="360" w:lineRule="auto"/>
        <w:jc w:val="both"/>
        <w:rPr>
          <w:rFonts w:ascii="Times New Roman" w:hAnsi="Times New Roman" w:cs="Times New Roman"/>
        </w:rPr>
      </w:pPr>
      <w:r w:rsidRPr="00AA2FFC">
        <w:rPr>
          <w:rFonts w:ascii="Times New Roman" w:hAnsi="Times New Roman" w:cs="Times New Roman"/>
          <w:i/>
          <w:iCs/>
        </w:rPr>
        <w:t>Position:</w:t>
      </w:r>
      <w:r w:rsidRPr="00AA2FFC">
        <w:rPr>
          <w:rFonts w:ascii="Times New Roman" w:hAnsi="Times New Roman" w:cs="Times New Roman"/>
        </w:rPr>
        <w:t xml:space="preserve"> The visualization had tried to include all condition/disease mentioned in the dataset along the y axis, which makes the chart too lengthy and reduces the readability. </w:t>
      </w:r>
    </w:p>
    <w:p w14:paraId="1EF89425" w14:textId="77777777" w:rsidR="00BA731B" w:rsidRPr="00AA2FFC" w:rsidRDefault="00BA731B" w:rsidP="00BA731B">
      <w:pPr>
        <w:pStyle w:val="ListParagraph"/>
        <w:numPr>
          <w:ilvl w:val="0"/>
          <w:numId w:val="1"/>
        </w:numPr>
        <w:spacing w:line="360" w:lineRule="auto"/>
        <w:jc w:val="both"/>
        <w:rPr>
          <w:rFonts w:ascii="Times New Roman" w:hAnsi="Times New Roman" w:cs="Times New Roman"/>
        </w:rPr>
      </w:pPr>
      <w:r w:rsidRPr="00AA2FFC">
        <w:rPr>
          <w:rFonts w:ascii="Times New Roman" w:hAnsi="Times New Roman" w:cs="Times New Roman"/>
          <w:i/>
          <w:iCs/>
        </w:rPr>
        <w:t>Colors:</w:t>
      </w:r>
      <w:r w:rsidRPr="00AA2FFC">
        <w:rPr>
          <w:rFonts w:ascii="Times New Roman" w:hAnsi="Times New Roman" w:cs="Times New Roman"/>
        </w:rPr>
        <w:t xml:space="preserve"> The use of too many colors without any legend to explain what it represents makes the visualization confusing for the user. </w:t>
      </w:r>
    </w:p>
    <w:p w14:paraId="41581B7E" w14:textId="77777777" w:rsidR="00BA731B" w:rsidRPr="00AA2FFC" w:rsidRDefault="00BA731B" w:rsidP="00BA731B">
      <w:pPr>
        <w:pStyle w:val="ListParagraph"/>
        <w:numPr>
          <w:ilvl w:val="0"/>
          <w:numId w:val="1"/>
        </w:numPr>
        <w:spacing w:line="360" w:lineRule="auto"/>
        <w:jc w:val="both"/>
        <w:rPr>
          <w:rFonts w:ascii="Times New Roman" w:hAnsi="Times New Roman" w:cs="Times New Roman"/>
        </w:rPr>
      </w:pPr>
      <w:r w:rsidRPr="00AA2FFC">
        <w:rPr>
          <w:rFonts w:ascii="Times New Roman" w:hAnsi="Times New Roman" w:cs="Times New Roman"/>
          <w:i/>
          <w:iCs/>
        </w:rPr>
        <w:t>Size and Shape:</w:t>
      </w:r>
      <w:r w:rsidRPr="00AA2FFC">
        <w:rPr>
          <w:rFonts w:ascii="Times New Roman" w:hAnsi="Times New Roman" w:cs="Times New Roman"/>
        </w:rPr>
        <w:t xml:space="preserve"> The visualization is making use of bubbles with different size and shapes but fails to explain what each of them represents. Smaller bubbles and the shapes are hard to notice as most of the data in visualization is crowded.</w:t>
      </w:r>
    </w:p>
    <w:p w14:paraId="6C23989F" w14:textId="77777777" w:rsidR="00BA731B" w:rsidRPr="00AA2FFC" w:rsidRDefault="00BA731B" w:rsidP="00BA731B">
      <w:pPr>
        <w:spacing w:line="360" w:lineRule="auto"/>
        <w:jc w:val="both"/>
        <w:rPr>
          <w:rFonts w:ascii="Times New Roman" w:hAnsi="Times New Roman" w:cs="Times New Roman"/>
          <w:b/>
          <w:bCs/>
          <w:sz w:val="24"/>
          <w:szCs w:val="24"/>
          <w:u w:val="single"/>
        </w:rPr>
      </w:pPr>
      <w:r w:rsidRPr="00AA2FFC">
        <w:rPr>
          <w:rFonts w:ascii="Times New Roman" w:hAnsi="Times New Roman" w:cs="Times New Roman"/>
          <w:b/>
          <w:bCs/>
          <w:sz w:val="24"/>
          <w:szCs w:val="24"/>
          <w:u w:val="single"/>
        </w:rPr>
        <w:t xml:space="preserve">Priority List </w:t>
      </w:r>
      <w:proofErr w:type="gramStart"/>
      <w:r w:rsidRPr="00AA2FFC">
        <w:rPr>
          <w:rFonts w:ascii="Times New Roman" w:hAnsi="Times New Roman" w:cs="Times New Roman"/>
          <w:b/>
          <w:bCs/>
          <w:sz w:val="24"/>
          <w:szCs w:val="24"/>
          <w:u w:val="single"/>
        </w:rPr>
        <w:t>Of</w:t>
      </w:r>
      <w:proofErr w:type="gramEnd"/>
      <w:r w:rsidRPr="00AA2FFC">
        <w:rPr>
          <w:rFonts w:ascii="Times New Roman" w:hAnsi="Times New Roman" w:cs="Times New Roman"/>
          <w:b/>
          <w:bCs/>
          <w:sz w:val="24"/>
          <w:szCs w:val="24"/>
          <w:u w:val="single"/>
        </w:rPr>
        <w:t xml:space="preserve"> Improvements</w:t>
      </w:r>
    </w:p>
    <w:p w14:paraId="2CA30286" w14:textId="77777777" w:rsidR="00BA731B" w:rsidRPr="00AA2FFC" w:rsidRDefault="00BA731B" w:rsidP="00BA731B">
      <w:pPr>
        <w:pStyle w:val="ListParagraph"/>
        <w:numPr>
          <w:ilvl w:val="0"/>
          <w:numId w:val="4"/>
        </w:numPr>
        <w:spacing w:line="360" w:lineRule="auto"/>
        <w:jc w:val="both"/>
        <w:rPr>
          <w:rFonts w:ascii="Times New Roman" w:hAnsi="Times New Roman" w:cs="Times New Roman"/>
        </w:rPr>
      </w:pPr>
      <w:r w:rsidRPr="00BF6D19">
        <w:rPr>
          <w:rFonts w:ascii="Times New Roman" w:hAnsi="Times New Roman" w:cs="Times New Roman"/>
          <w:i/>
          <w:iCs/>
        </w:rPr>
        <w:t>Improve design and reduce complexity:</w:t>
      </w:r>
      <w:r>
        <w:rPr>
          <w:rFonts w:ascii="Times New Roman" w:hAnsi="Times New Roman" w:cs="Times New Roman"/>
        </w:rPr>
        <w:t xml:space="preserve"> </w:t>
      </w:r>
      <w:r w:rsidRPr="00AA2FFC">
        <w:rPr>
          <w:rFonts w:ascii="Times New Roman" w:hAnsi="Times New Roman" w:cs="Times New Roman"/>
        </w:rPr>
        <w:t>Make the visualization simple by using multiple charts</w:t>
      </w:r>
      <w:r>
        <w:rPr>
          <w:rFonts w:ascii="Times New Roman" w:hAnsi="Times New Roman" w:cs="Times New Roman"/>
        </w:rPr>
        <w:t xml:space="preserve">, </w:t>
      </w:r>
      <w:r w:rsidRPr="00AA2FFC">
        <w:rPr>
          <w:rFonts w:ascii="Times New Roman" w:hAnsi="Times New Roman" w:cs="Times New Roman"/>
        </w:rPr>
        <w:t>so that</w:t>
      </w:r>
      <w:r>
        <w:rPr>
          <w:rFonts w:ascii="Times New Roman" w:hAnsi="Times New Roman" w:cs="Times New Roman"/>
        </w:rPr>
        <w:t>,</w:t>
      </w:r>
      <w:r w:rsidRPr="00AA2FFC">
        <w:rPr>
          <w:rFonts w:ascii="Times New Roman" w:hAnsi="Times New Roman" w:cs="Times New Roman"/>
        </w:rPr>
        <w:t xml:space="preserve"> the user can concentrate on separate details without feeling overwhelmed. </w:t>
      </w:r>
    </w:p>
    <w:p w14:paraId="04A4A4C7" w14:textId="77777777" w:rsidR="00BA731B" w:rsidRPr="00AA2FFC" w:rsidRDefault="00BA731B" w:rsidP="00BA731B">
      <w:pPr>
        <w:pStyle w:val="ListParagraph"/>
        <w:numPr>
          <w:ilvl w:val="0"/>
          <w:numId w:val="4"/>
        </w:numPr>
        <w:spacing w:line="360" w:lineRule="auto"/>
        <w:jc w:val="both"/>
        <w:rPr>
          <w:rFonts w:ascii="Times New Roman" w:hAnsi="Times New Roman" w:cs="Times New Roman"/>
        </w:rPr>
      </w:pPr>
      <w:r w:rsidRPr="00BF6D19">
        <w:rPr>
          <w:rFonts w:ascii="Times New Roman" w:hAnsi="Times New Roman" w:cs="Times New Roman"/>
          <w:i/>
          <w:iCs/>
        </w:rPr>
        <w:t>Add legends:</w:t>
      </w:r>
      <w:r w:rsidRPr="00AA2FFC">
        <w:rPr>
          <w:rFonts w:ascii="Times New Roman" w:hAnsi="Times New Roman" w:cs="Times New Roman"/>
        </w:rPr>
        <w:t xml:space="preserve"> To help users decode the visual representation easily.</w:t>
      </w:r>
    </w:p>
    <w:p w14:paraId="3B520E75" w14:textId="77777777" w:rsidR="00BA731B" w:rsidRPr="00AA2FFC" w:rsidRDefault="00BA731B" w:rsidP="00BA731B">
      <w:pPr>
        <w:pStyle w:val="ListParagraph"/>
        <w:numPr>
          <w:ilvl w:val="0"/>
          <w:numId w:val="4"/>
        </w:numPr>
        <w:spacing w:line="360" w:lineRule="auto"/>
        <w:jc w:val="both"/>
        <w:rPr>
          <w:rFonts w:ascii="Times New Roman" w:hAnsi="Times New Roman" w:cs="Times New Roman"/>
        </w:rPr>
      </w:pPr>
      <w:r w:rsidRPr="00BF6D19">
        <w:rPr>
          <w:rFonts w:ascii="Times New Roman" w:hAnsi="Times New Roman" w:cs="Times New Roman"/>
          <w:i/>
          <w:iCs/>
        </w:rPr>
        <w:lastRenderedPageBreak/>
        <w:t>Add filters:</w:t>
      </w:r>
      <w:r w:rsidRPr="00AA2FFC">
        <w:rPr>
          <w:rFonts w:ascii="Times New Roman" w:hAnsi="Times New Roman" w:cs="Times New Roman"/>
        </w:rPr>
        <w:t xml:space="preserve"> To limit and customize the data displayed on visualization in a dashboard.</w:t>
      </w:r>
    </w:p>
    <w:p w14:paraId="56015FC4" w14:textId="77777777" w:rsidR="00BA731B" w:rsidRPr="00AA2FFC" w:rsidRDefault="00BA731B" w:rsidP="00BA731B">
      <w:pPr>
        <w:spacing w:line="360" w:lineRule="auto"/>
        <w:jc w:val="both"/>
        <w:rPr>
          <w:rFonts w:ascii="Times New Roman" w:hAnsi="Times New Roman" w:cs="Times New Roman"/>
          <w:b/>
          <w:bCs/>
          <w:sz w:val="24"/>
          <w:szCs w:val="24"/>
          <w:u w:val="single"/>
        </w:rPr>
      </w:pPr>
      <w:r w:rsidRPr="00AA2FFC">
        <w:rPr>
          <w:rFonts w:ascii="Times New Roman" w:hAnsi="Times New Roman" w:cs="Times New Roman"/>
          <w:b/>
          <w:bCs/>
          <w:sz w:val="24"/>
          <w:szCs w:val="24"/>
          <w:u w:val="single"/>
        </w:rPr>
        <w:t>Exploratory Data Analysis Questions</w:t>
      </w:r>
    </w:p>
    <w:p w14:paraId="0DC3C410" w14:textId="77777777" w:rsidR="00BA731B" w:rsidRPr="00AA2FFC" w:rsidRDefault="00BA731B" w:rsidP="00BA731B">
      <w:pPr>
        <w:pStyle w:val="ListParagraph"/>
        <w:numPr>
          <w:ilvl w:val="0"/>
          <w:numId w:val="2"/>
        </w:numPr>
        <w:spacing w:line="360" w:lineRule="auto"/>
        <w:jc w:val="both"/>
        <w:rPr>
          <w:rFonts w:ascii="Times New Roman" w:hAnsi="Times New Roman" w:cs="Times New Roman"/>
        </w:rPr>
      </w:pPr>
      <w:r w:rsidRPr="00AA2FFC">
        <w:rPr>
          <w:rFonts w:ascii="Times New Roman" w:hAnsi="Times New Roman" w:cs="Times New Roman"/>
        </w:rPr>
        <w:t>Which were the conditions</w:t>
      </w:r>
      <w:r>
        <w:rPr>
          <w:rFonts w:ascii="Times New Roman" w:hAnsi="Times New Roman" w:cs="Times New Roman"/>
        </w:rPr>
        <w:t xml:space="preserve"> (top 10)</w:t>
      </w:r>
      <w:r w:rsidRPr="00AA2FFC">
        <w:rPr>
          <w:rFonts w:ascii="Times New Roman" w:hAnsi="Times New Roman" w:cs="Times New Roman"/>
        </w:rPr>
        <w:t xml:space="preserve"> for which most trials were done for?</w:t>
      </w:r>
    </w:p>
    <w:p w14:paraId="2A4555D5" w14:textId="77777777" w:rsidR="00BA731B" w:rsidRDefault="00BA731B" w:rsidP="00BA731B">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How many trials did each sponsor’s conduct and how many participants?</w:t>
      </w:r>
    </w:p>
    <w:p w14:paraId="40FA92D0" w14:textId="77777777" w:rsidR="00BA731B" w:rsidRDefault="00BA731B" w:rsidP="00BA731B">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How did the research activity in each condition change over the year?</w:t>
      </w:r>
    </w:p>
    <w:p w14:paraId="67DF0582" w14:textId="77777777" w:rsidR="00BA731B" w:rsidRPr="00F52982" w:rsidRDefault="00BA731B" w:rsidP="00BA731B">
      <w:pPr>
        <w:pStyle w:val="ListParagraph"/>
        <w:numPr>
          <w:ilvl w:val="0"/>
          <w:numId w:val="2"/>
        </w:numPr>
        <w:spacing w:line="360" w:lineRule="auto"/>
        <w:jc w:val="both"/>
        <w:rPr>
          <w:rFonts w:ascii="Times New Roman" w:hAnsi="Times New Roman" w:cs="Times New Roman"/>
        </w:rPr>
      </w:pPr>
      <w:r w:rsidRPr="00E478B8">
        <w:rPr>
          <w:rFonts w:ascii="Times New Roman" w:hAnsi="Times New Roman" w:cs="Times New Roman"/>
        </w:rPr>
        <w:t xml:space="preserve">What is the total number of </w:t>
      </w:r>
      <w:r>
        <w:rPr>
          <w:rFonts w:ascii="Times New Roman" w:hAnsi="Times New Roman" w:cs="Times New Roman"/>
        </w:rPr>
        <w:t>suspended, terminated, withdrawn, unknown status</w:t>
      </w:r>
      <w:r w:rsidRPr="00E478B8">
        <w:rPr>
          <w:rFonts w:ascii="Times New Roman" w:hAnsi="Times New Roman" w:cs="Times New Roman"/>
        </w:rPr>
        <w:t xml:space="preserve"> projects and</w:t>
      </w:r>
      <w:r>
        <w:rPr>
          <w:rFonts w:ascii="Times New Roman" w:hAnsi="Times New Roman" w:cs="Times New Roman"/>
        </w:rPr>
        <w:t xml:space="preserve"> </w:t>
      </w:r>
      <w:r w:rsidRPr="00F52982">
        <w:rPr>
          <w:rFonts w:ascii="Times New Roman" w:hAnsi="Times New Roman" w:cs="Times New Roman"/>
        </w:rPr>
        <w:t>which sponsor had the greatest number?</w:t>
      </w:r>
    </w:p>
    <w:p w14:paraId="71E34528" w14:textId="77777777" w:rsidR="00BA731B" w:rsidRPr="00AA2FFC" w:rsidRDefault="00BA731B" w:rsidP="00BA731B">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Which were the top 10 trials with the greatest number of enrollments</w:t>
      </w:r>
      <w:r w:rsidRPr="00AA2FFC">
        <w:rPr>
          <w:rFonts w:ascii="Times New Roman" w:hAnsi="Times New Roman" w:cs="Times New Roman"/>
        </w:rPr>
        <w:t>?</w:t>
      </w:r>
    </w:p>
    <w:p w14:paraId="36E1162E" w14:textId="77777777" w:rsidR="00BA731B" w:rsidRPr="00AA2FFC" w:rsidRDefault="00BA731B" w:rsidP="00BA731B">
      <w:pPr>
        <w:pStyle w:val="ListParagraph"/>
        <w:numPr>
          <w:ilvl w:val="0"/>
          <w:numId w:val="2"/>
        </w:numPr>
        <w:spacing w:line="360" w:lineRule="auto"/>
        <w:jc w:val="both"/>
        <w:rPr>
          <w:rFonts w:ascii="Times New Roman" w:hAnsi="Times New Roman" w:cs="Times New Roman"/>
        </w:rPr>
      </w:pPr>
      <w:r w:rsidRPr="00AA2FFC">
        <w:rPr>
          <w:rFonts w:ascii="Times New Roman" w:hAnsi="Times New Roman" w:cs="Times New Roman"/>
        </w:rPr>
        <w:t>Total count of patients</w:t>
      </w:r>
    </w:p>
    <w:p w14:paraId="741CA5EB" w14:textId="77777777" w:rsidR="00BA731B" w:rsidRDefault="00BA731B" w:rsidP="00BA731B">
      <w:pPr>
        <w:pStyle w:val="ListParagraph"/>
        <w:numPr>
          <w:ilvl w:val="0"/>
          <w:numId w:val="2"/>
        </w:numPr>
        <w:spacing w:line="360" w:lineRule="auto"/>
        <w:jc w:val="both"/>
        <w:rPr>
          <w:rFonts w:ascii="Times New Roman" w:hAnsi="Times New Roman" w:cs="Times New Roman"/>
        </w:rPr>
      </w:pPr>
      <w:r w:rsidRPr="00AA2FFC">
        <w:rPr>
          <w:rFonts w:ascii="Times New Roman" w:hAnsi="Times New Roman" w:cs="Times New Roman"/>
        </w:rPr>
        <w:t>Smallest trials</w:t>
      </w:r>
      <w:r>
        <w:rPr>
          <w:rFonts w:ascii="Times New Roman" w:hAnsi="Times New Roman" w:cs="Times New Roman"/>
        </w:rPr>
        <w:t xml:space="preserve"> that were completed </w:t>
      </w:r>
    </w:p>
    <w:p w14:paraId="0A1625F4" w14:textId="77777777" w:rsidR="00BA731B" w:rsidRDefault="00BA731B" w:rsidP="00BA731B">
      <w:pPr>
        <w:pStyle w:val="ListParagraph"/>
        <w:spacing w:line="360" w:lineRule="auto"/>
        <w:jc w:val="both"/>
        <w:rPr>
          <w:rFonts w:ascii="Times New Roman" w:hAnsi="Times New Roman" w:cs="Times New Roman"/>
        </w:rPr>
      </w:pPr>
      <w:r>
        <w:rPr>
          <w:rFonts w:ascii="Times New Roman" w:hAnsi="Times New Roman" w:cs="Times New Roman"/>
        </w:rPr>
        <w:t>1987 trials completed in either Early phase1/Phase 1</w:t>
      </w:r>
    </w:p>
    <w:p w14:paraId="0EBAC59B" w14:textId="77777777" w:rsidR="00BA731B" w:rsidRDefault="00BA731B" w:rsidP="00BA731B">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 Largest trials</w:t>
      </w:r>
    </w:p>
    <w:p w14:paraId="2E3B751F" w14:textId="77777777" w:rsidR="00BA731B" w:rsidRPr="00AA2FFC" w:rsidRDefault="00BA731B" w:rsidP="00BA731B">
      <w:pPr>
        <w:pStyle w:val="ListParagraph"/>
        <w:spacing w:line="360" w:lineRule="auto"/>
        <w:jc w:val="both"/>
        <w:rPr>
          <w:rFonts w:ascii="Times New Roman" w:hAnsi="Times New Roman" w:cs="Times New Roman"/>
        </w:rPr>
      </w:pPr>
      <w:r>
        <w:rPr>
          <w:rFonts w:ascii="Times New Roman" w:hAnsi="Times New Roman" w:cs="Times New Roman"/>
        </w:rPr>
        <w:t>1659 trials completed in Phase 4</w:t>
      </w:r>
    </w:p>
    <w:p w14:paraId="3A08E760" w14:textId="77777777" w:rsidR="00BA731B" w:rsidRPr="00AA2FFC" w:rsidRDefault="00BA731B" w:rsidP="00BA731B">
      <w:pPr>
        <w:pStyle w:val="ListParagraph"/>
        <w:numPr>
          <w:ilvl w:val="0"/>
          <w:numId w:val="2"/>
        </w:numPr>
        <w:spacing w:line="360" w:lineRule="auto"/>
        <w:jc w:val="both"/>
        <w:rPr>
          <w:rFonts w:ascii="Times New Roman" w:hAnsi="Times New Roman" w:cs="Times New Roman"/>
        </w:rPr>
      </w:pPr>
      <w:r w:rsidRPr="00AA2FFC">
        <w:rPr>
          <w:rFonts w:ascii="Times New Roman" w:hAnsi="Times New Roman" w:cs="Times New Roman"/>
        </w:rPr>
        <w:t>It is also interesting to note the gaps in activity. What happened in migraine research after 2010? Why have these 10 companies initiated so few migraine trials since then? By contrast, the activity in Alzheimer’s research looks steadier — although it has more terminated trials.</w:t>
      </w:r>
    </w:p>
    <w:p w14:paraId="02A121CC" w14:textId="77777777" w:rsidR="00BA731B" w:rsidRPr="00AA2FFC" w:rsidRDefault="00BA731B" w:rsidP="00BA731B">
      <w:pPr>
        <w:pStyle w:val="ListParagraph"/>
        <w:rPr>
          <w:rFonts w:ascii="Times New Roman" w:hAnsi="Times New Roman" w:cs="Times New Roman"/>
        </w:rPr>
      </w:pPr>
      <w:r w:rsidRPr="00AA2FFC">
        <w:rPr>
          <w:rFonts w:ascii="Times New Roman" w:hAnsi="Times New Roman" w:cs="Times New Roman"/>
        </w:rPr>
        <w:t>Even though trial termination is not necessarily a bad thing — some trials are terminated early because the experimental drug is found to be highly effective — trials are not designed with the intention of being stopped early. So, a cluster of terminations in a particular area demands an explanation.</w:t>
      </w:r>
    </w:p>
    <w:p w14:paraId="7A9A535E" w14:textId="77777777" w:rsidR="00BA731B" w:rsidRPr="00654117" w:rsidRDefault="00BA731B" w:rsidP="00BA731B">
      <w:pPr>
        <w:pStyle w:val="ListParagraph"/>
        <w:spacing w:line="360" w:lineRule="auto"/>
        <w:jc w:val="both"/>
        <w:rPr>
          <w:rFonts w:ascii="Times New Roman" w:hAnsi="Times New Roman" w:cs="Times New Roman"/>
          <w:sz w:val="24"/>
          <w:szCs w:val="24"/>
        </w:rPr>
      </w:pPr>
    </w:p>
    <w:p w14:paraId="0D7D2933" w14:textId="77777777" w:rsidR="00BA731B" w:rsidRPr="00AA2FFC" w:rsidRDefault="00BA731B" w:rsidP="00BA731B">
      <w:pPr>
        <w:spacing w:line="360" w:lineRule="auto"/>
        <w:jc w:val="both"/>
        <w:rPr>
          <w:rFonts w:ascii="Times New Roman" w:hAnsi="Times New Roman" w:cs="Times New Roman"/>
          <w:b/>
          <w:bCs/>
          <w:sz w:val="24"/>
          <w:szCs w:val="24"/>
          <w:u w:val="single"/>
        </w:rPr>
      </w:pPr>
      <w:r w:rsidRPr="00AA2FFC">
        <w:rPr>
          <w:rFonts w:ascii="Times New Roman" w:hAnsi="Times New Roman" w:cs="Times New Roman"/>
          <w:b/>
          <w:bCs/>
          <w:sz w:val="24"/>
          <w:szCs w:val="24"/>
          <w:u w:val="single"/>
        </w:rPr>
        <w:t>Summary &amp; Key Insights</w:t>
      </w:r>
    </w:p>
    <w:p w14:paraId="15A2513D" w14:textId="77777777" w:rsidR="00BA731B" w:rsidRDefault="00BA731B" w:rsidP="00BA731B">
      <w:pPr>
        <w:rPr>
          <w:rFonts w:ascii="Times New Roman" w:hAnsi="Times New Roman" w:cs="Times New Roman"/>
          <w:b/>
          <w:bCs/>
          <w:sz w:val="28"/>
          <w:szCs w:val="28"/>
        </w:rPr>
      </w:pPr>
      <w:r>
        <w:rPr>
          <w:rFonts w:ascii="Times New Roman" w:hAnsi="Times New Roman" w:cs="Times New Roman"/>
          <w:b/>
          <w:bCs/>
          <w:sz w:val="28"/>
          <w:szCs w:val="28"/>
        </w:rPr>
        <w:br w:type="page"/>
      </w:r>
    </w:p>
    <w:p w14:paraId="0F133E1F" w14:textId="77777777" w:rsidR="00BA731B" w:rsidRPr="00AA2FFC" w:rsidRDefault="00BA731B" w:rsidP="00BA731B">
      <w:pPr>
        <w:spacing w:line="360" w:lineRule="auto"/>
        <w:ind w:left="360"/>
        <w:jc w:val="center"/>
        <w:rPr>
          <w:rFonts w:ascii="Times New Roman" w:hAnsi="Times New Roman" w:cs="Times New Roman"/>
          <w:b/>
          <w:bCs/>
          <w:sz w:val="24"/>
          <w:szCs w:val="24"/>
        </w:rPr>
      </w:pPr>
      <w:r w:rsidRPr="00AA2FFC">
        <w:rPr>
          <w:rFonts w:ascii="Times New Roman" w:hAnsi="Times New Roman" w:cs="Times New Roman"/>
          <w:b/>
          <w:bCs/>
          <w:sz w:val="24"/>
          <w:szCs w:val="24"/>
        </w:rPr>
        <w:lastRenderedPageBreak/>
        <w:t>Reference</w:t>
      </w:r>
    </w:p>
    <w:p w14:paraId="7042DE23" w14:textId="77777777" w:rsidR="00BA731B" w:rsidRPr="00AA2FFC" w:rsidRDefault="00BA731B" w:rsidP="00BA731B">
      <w:pPr>
        <w:spacing w:after="0" w:line="480" w:lineRule="auto"/>
        <w:ind w:left="720" w:hanging="720"/>
        <w:rPr>
          <w:rFonts w:ascii="Times New Roman" w:eastAsia="Times New Roman" w:hAnsi="Times New Roman" w:cs="Times New Roman"/>
          <w:lang w:val="fr-FR"/>
        </w:rPr>
      </w:pPr>
      <w:r w:rsidRPr="00AA2FFC">
        <w:rPr>
          <w:rFonts w:ascii="Times New Roman" w:eastAsia="Times New Roman" w:hAnsi="Times New Roman" w:cs="Times New Roman"/>
        </w:rPr>
        <w:t xml:space="preserve">Skerrett, P. (2019, July 17). </w:t>
      </w:r>
      <w:r w:rsidRPr="00AA2FFC">
        <w:rPr>
          <w:rFonts w:ascii="Times New Roman" w:eastAsia="Times New Roman" w:hAnsi="Times New Roman" w:cs="Times New Roman"/>
          <w:i/>
          <w:iCs/>
        </w:rPr>
        <w:t>A bird’s-eye view of clinical trials provides new perspectives on drug research and development</w:t>
      </w:r>
      <w:r w:rsidRPr="00AA2FFC">
        <w:rPr>
          <w:rFonts w:ascii="Times New Roman" w:eastAsia="Times New Roman" w:hAnsi="Times New Roman" w:cs="Times New Roman"/>
        </w:rPr>
        <w:t xml:space="preserve">. </w:t>
      </w:r>
      <w:r w:rsidRPr="00AA2FFC">
        <w:rPr>
          <w:rFonts w:ascii="Times New Roman" w:eastAsia="Times New Roman" w:hAnsi="Times New Roman" w:cs="Times New Roman"/>
          <w:lang w:val="fr-FR"/>
        </w:rPr>
        <w:t xml:space="preserve">STAT. </w:t>
      </w:r>
      <w:hyperlink r:id="rId8" w:history="1">
        <w:r w:rsidRPr="00AA2FFC">
          <w:rPr>
            <w:rStyle w:val="Hyperlink"/>
            <w:rFonts w:ascii="Times New Roman" w:eastAsia="Times New Roman" w:hAnsi="Times New Roman" w:cs="Times New Roman"/>
            <w:lang w:val="fr-FR"/>
          </w:rPr>
          <w:t>https://www.statnews.com/2019/07/18/clinical-trials-birds-eye-view-drug-development/</w:t>
        </w:r>
      </w:hyperlink>
      <w:r w:rsidRPr="00AA2FFC">
        <w:rPr>
          <w:rFonts w:ascii="Times New Roman" w:eastAsia="Times New Roman" w:hAnsi="Times New Roman" w:cs="Times New Roman"/>
          <w:lang w:val="fr-FR"/>
        </w:rPr>
        <w:t xml:space="preserve"> </w:t>
      </w:r>
    </w:p>
    <w:p w14:paraId="2A71C500" w14:textId="77777777" w:rsidR="00777F6A" w:rsidRPr="00BA731B" w:rsidRDefault="00777F6A" w:rsidP="00BA731B">
      <w:pPr>
        <w:rPr>
          <w:lang w:val="fr-FR"/>
        </w:rPr>
      </w:pPr>
    </w:p>
    <w:sectPr w:rsidR="00777F6A" w:rsidRPr="00BA731B" w:rsidSect="00940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D3A75"/>
    <w:multiLevelType w:val="hybridMultilevel"/>
    <w:tmpl w:val="A0B6D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B6AA1"/>
    <w:multiLevelType w:val="hybridMultilevel"/>
    <w:tmpl w:val="D09ED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75059"/>
    <w:multiLevelType w:val="hybridMultilevel"/>
    <w:tmpl w:val="4B1A9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82044"/>
    <w:multiLevelType w:val="hybridMultilevel"/>
    <w:tmpl w:val="234ED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93"/>
    <w:rsid w:val="00026838"/>
    <w:rsid w:val="000313E0"/>
    <w:rsid w:val="00055430"/>
    <w:rsid w:val="0008369A"/>
    <w:rsid w:val="0012054F"/>
    <w:rsid w:val="001B5396"/>
    <w:rsid w:val="00275CDF"/>
    <w:rsid w:val="002803CE"/>
    <w:rsid w:val="00285B46"/>
    <w:rsid w:val="002B5A78"/>
    <w:rsid w:val="002C06C5"/>
    <w:rsid w:val="003035F6"/>
    <w:rsid w:val="003046E8"/>
    <w:rsid w:val="003A2CE0"/>
    <w:rsid w:val="003B11A7"/>
    <w:rsid w:val="003E5F32"/>
    <w:rsid w:val="00401CE0"/>
    <w:rsid w:val="00464C1C"/>
    <w:rsid w:val="00465653"/>
    <w:rsid w:val="004D0ED6"/>
    <w:rsid w:val="004F52FB"/>
    <w:rsid w:val="00504499"/>
    <w:rsid w:val="0054374D"/>
    <w:rsid w:val="00563A19"/>
    <w:rsid w:val="00585EEF"/>
    <w:rsid w:val="00645AED"/>
    <w:rsid w:val="006608E7"/>
    <w:rsid w:val="006C2793"/>
    <w:rsid w:val="006F4514"/>
    <w:rsid w:val="007136AF"/>
    <w:rsid w:val="00722DE0"/>
    <w:rsid w:val="007258F3"/>
    <w:rsid w:val="00744C3E"/>
    <w:rsid w:val="00774FD3"/>
    <w:rsid w:val="00777F6A"/>
    <w:rsid w:val="00792CBE"/>
    <w:rsid w:val="007A4074"/>
    <w:rsid w:val="007D01C3"/>
    <w:rsid w:val="007F07A9"/>
    <w:rsid w:val="00806093"/>
    <w:rsid w:val="008104FD"/>
    <w:rsid w:val="008143E1"/>
    <w:rsid w:val="008276A7"/>
    <w:rsid w:val="008347D3"/>
    <w:rsid w:val="008375C8"/>
    <w:rsid w:val="008430E5"/>
    <w:rsid w:val="00885662"/>
    <w:rsid w:val="00912778"/>
    <w:rsid w:val="0093378D"/>
    <w:rsid w:val="00940034"/>
    <w:rsid w:val="0097289A"/>
    <w:rsid w:val="00995454"/>
    <w:rsid w:val="009A6FC6"/>
    <w:rsid w:val="009C6E1A"/>
    <w:rsid w:val="00A04A6E"/>
    <w:rsid w:val="00B34969"/>
    <w:rsid w:val="00B43860"/>
    <w:rsid w:val="00BA731B"/>
    <w:rsid w:val="00BB4B11"/>
    <w:rsid w:val="00BC435D"/>
    <w:rsid w:val="00BE10ED"/>
    <w:rsid w:val="00C62419"/>
    <w:rsid w:val="00C812FC"/>
    <w:rsid w:val="00CC481D"/>
    <w:rsid w:val="00CF3DCB"/>
    <w:rsid w:val="00D118B0"/>
    <w:rsid w:val="00DA3514"/>
    <w:rsid w:val="00DD10C9"/>
    <w:rsid w:val="00DD53A1"/>
    <w:rsid w:val="00DF0814"/>
    <w:rsid w:val="00DF162B"/>
    <w:rsid w:val="00EB63D2"/>
    <w:rsid w:val="00EC2A12"/>
    <w:rsid w:val="00EE6BCB"/>
    <w:rsid w:val="00F017B2"/>
    <w:rsid w:val="00F453C9"/>
    <w:rsid w:val="00F70AD8"/>
    <w:rsid w:val="00F9663E"/>
    <w:rsid w:val="00FA0991"/>
    <w:rsid w:val="00FA231C"/>
    <w:rsid w:val="00FB3914"/>
    <w:rsid w:val="00FE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AD81"/>
  <w15:chartTrackingRefBased/>
  <w15:docId w15:val="{5BCC37FE-8180-45A2-A66A-8FBF9C61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793"/>
    <w:rPr>
      <w:color w:val="0563C1" w:themeColor="hyperlink"/>
      <w:u w:val="single"/>
    </w:rPr>
  </w:style>
  <w:style w:type="character" w:styleId="UnresolvedMention">
    <w:name w:val="Unresolved Mention"/>
    <w:basedOn w:val="DefaultParagraphFont"/>
    <w:uiPriority w:val="99"/>
    <w:semiHidden/>
    <w:unhideWhenUsed/>
    <w:rsid w:val="006C2793"/>
    <w:rPr>
      <w:color w:val="605E5C"/>
      <w:shd w:val="clear" w:color="auto" w:fill="E1DFDD"/>
    </w:rPr>
  </w:style>
  <w:style w:type="paragraph" w:styleId="ListParagraph">
    <w:name w:val="List Paragraph"/>
    <w:basedOn w:val="Normal"/>
    <w:uiPriority w:val="34"/>
    <w:qFormat/>
    <w:rsid w:val="008347D3"/>
    <w:pPr>
      <w:ind w:left="720"/>
      <w:contextualSpacing/>
    </w:pPr>
  </w:style>
  <w:style w:type="paragraph" w:styleId="NoSpacing">
    <w:name w:val="No Spacing"/>
    <w:uiPriority w:val="1"/>
    <w:qFormat/>
    <w:rsid w:val="00806093"/>
    <w:pPr>
      <w:spacing w:after="0" w:line="240" w:lineRule="auto"/>
    </w:pPr>
    <w:rPr>
      <w:color w:val="44546A" w:themeColor="text2"/>
      <w:sz w:val="20"/>
      <w:szCs w:val="20"/>
    </w:rPr>
  </w:style>
  <w:style w:type="paragraph" w:styleId="NormalWeb">
    <w:name w:val="Normal (Web)"/>
    <w:basedOn w:val="Normal"/>
    <w:uiPriority w:val="99"/>
    <w:semiHidden/>
    <w:unhideWhenUsed/>
    <w:rsid w:val="00FA099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A7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05644">
      <w:bodyDiv w:val="1"/>
      <w:marLeft w:val="0"/>
      <w:marRight w:val="0"/>
      <w:marTop w:val="0"/>
      <w:marBottom w:val="0"/>
      <w:divBdr>
        <w:top w:val="none" w:sz="0" w:space="0" w:color="auto"/>
        <w:left w:val="none" w:sz="0" w:space="0" w:color="auto"/>
        <w:bottom w:val="none" w:sz="0" w:space="0" w:color="auto"/>
        <w:right w:val="none" w:sz="0" w:space="0" w:color="auto"/>
      </w:divBdr>
    </w:div>
    <w:div w:id="1571772062">
      <w:bodyDiv w:val="1"/>
      <w:marLeft w:val="0"/>
      <w:marRight w:val="0"/>
      <w:marTop w:val="0"/>
      <w:marBottom w:val="0"/>
      <w:divBdr>
        <w:top w:val="none" w:sz="0" w:space="0" w:color="auto"/>
        <w:left w:val="none" w:sz="0" w:space="0" w:color="auto"/>
        <w:bottom w:val="none" w:sz="0" w:space="0" w:color="auto"/>
        <w:right w:val="none" w:sz="0" w:space="0" w:color="auto"/>
      </w:divBdr>
      <w:divsChild>
        <w:div w:id="1803497932">
          <w:marLeft w:val="0"/>
          <w:marRight w:val="0"/>
          <w:marTop w:val="0"/>
          <w:marBottom w:val="0"/>
          <w:divBdr>
            <w:top w:val="none" w:sz="0" w:space="0" w:color="auto"/>
            <w:left w:val="none" w:sz="0" w:space="0" w:color="auto"/>
            <w:bottom w:val="none" w:sz="0" w:space="0" w:color="auto"/>
            <w:right w:val="none" w:sz="0" w:space="0" w:color="auto"/>
          </w:divBdr>
          <w:divsChild>
            <w:div w:id="699664137">
              <w:marLeft w:val="0"/>
              <w:marRight w:val="0"/>
              <w:marTop w:val="0"/>
              <w:marBottom w:val="0"/>
              <w:divBdr>
                <w:top w:val="none" w:sz="0" w:space="0" w:color="auto"/>
                <w:left w:val="none" w:sz="0" w:space="0" w:color="auto"/>
                <w:bottom w:val="none" w:sz="0" w:space="0" w:color="auto"/>
                <w:right w:val="none" w:sz="0" w:space="0" w:color="auto"/>
              </w:divBdr>
              <w:divsChild>
                <w:div w:id="1163353402">
                  <w:marLeft w:val="0"/>
                  <w:marRight w:val="0"/>
                  <w:marTop w:val="0"/>
                  <w:marBottom w:val="0"/>
                  <w:divBdr>
                    <w:top w:val="none" w:sz="0" w:space="0" w:color="auto"/>
                    <w:left w:val="none" w:sz="0" w:space="0" w:color="auto"/>
                    <w:bottom w:val="none" w:sz="0" w:space="0" w:color="auto"/>
                    <w:right w:val="none" w:sz="0" w:space="0" w:color="auto"/>
                  </w:divBdr>
                  <w:divsChild>
                    <w:div w:id="18759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7129">
              <w:marLeft w:val="0"/>
              <w:marRight w:val="0"/>
              <w:marTop w:val="0"/>
              <w:marBottom w:val="0"/>
              <w:divBdr>
                <w:top w:val="none" w:sz="0" w:space="0" w:color="auto"/>
                <w:left w:val="none" w:sz="0" w:space="0" w:color="auto"/>
                <w:bottom w:val="none" w:sz="0" w:space="0" w:color="auto"/>
                <w:right w:val="none" w:sz="0" w:space="0" w:color="auto"/>
              </w:divBdr>
              <w:divsChild>
                <w:div w:id="1276324789">
                  <w:marLeft w:val="0"/>
                  <w:marRight w:val="0"/>
                  <w:marTop w:val="0"/>
                  <w:marBottom w:val="0"/>
                  <w:divBdr>
                    <w:top w:val="none" w:sz="0" w:space="0" w:color="auto"/>
                    <w:left w:val="none" w:sz="0" w:space="0" w:color="auto"/>
                    <w:bottom w:val="none" w:sz="0" w:space="0" w:color="auto"/>
                    <w:right w:val="none" w:sz="0" w:space="0" w:color="auto"/>
                  </w:divBdr>
                  <w:divsChild>
                    <w:div w:id="51734230">
                      <w:marLeft w:val="0"/>
                      <w:marRight w:val="0"/>
                      <w:marTop w:val="0"/>
                      <w:marBottom w:val="0"/>
                      <w:divBdr>
                        <w:top w:val="none" w:sz="0" w:space="0" w:color="auto"/>
                        <w:left w:val="none" w:sz="0" w:space="0" w:color="auto"/>
                        <w:bottom w:val="none" w:sz="0" w:space="0" w:color="auto"/>
                        <w:right w:val="none" w:sz="0" w:space="0" w:color="auto"/>
                      </w:divBdr>
                      <w:divsChild>
                        <w:div w:id="1722242668">
                          <w:marLeft w:val="-15"/>
                          <w:marRight w:val="0"/>
                          <w:marTop w:val="0"/>
                          <w:marBottom w:val="0"/>
                          <w:divBdr>
                            <w:top w:val="none" w:sz="0" w:space="0" w:color="auto"/>
                            <w:left w:val="none" w:sz="0" w:space="0" w:color="auto"/>
                            <w:bottom w:val="none" w:sz="0" w:space="0" w:color="auto"/>
                            <w:right w:val="none" w:sz="0" w:space="0" w:color="auto"/>
                          </w:divBdr>
                        </w:div>
                        <w:div w:id="1548368980">
                          <w:marLeft w:val="-75"/>
                          <w:marRight w:val="0"/>
                          <w:marTop w:val="0"/>
                          <w:marBottom w:val="0"/>
                          <w:divBdr>
                            <w:top w:val="none" w:sz="0" w:space="0" w:color="auto"/>
                            <w:left w:val="none" w:sz="0" w:space="0" w:color="auto"/>
                            <w:bottom w:val="none" w:sz="0" w:space="0" w:color="auto"/>
                            <w:right w:val="none" w:sz="0" w:space="0" w:color="auto"/>
                          </w:divBdr>
                          <w:divsChild>
                            <w:div w:id="791772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news.com/2019/07/18/clinical-trials-birds-eye-view-drug-develop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erodatalab.org/birds-eye-view-of-research-landscape" TargetMode="External"/><Relationship Id="rId5" Type="http://schemas.openxmlformats.org/officeDocument/2006/relationships/hyperlink" Target="https://data.world/makeovermonday/2019w3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Bird’s Eye View of Clinical Trial</dc:title>
  <dc:subject/>
  <dc:creator>Jwala Mukhi S</dc:creator>
  <cp:keywords/>
  <dc:description/>
  <cp:lastModifiedBy>Jwala Mukhi S</cp:lastModifiedBy>
  <cp:revision>78</cp:revision>
  <dcterms:created xsi:type="dcterms:W3CDTF">2022-02-07T03:42:00Z</dcterms:created>
  <dcterms:modified xsi:type="dcterms:W3CDTF">2022-02-13T02:26:00Z</dcterms:modified>
</cp:coreProperties>
</file>