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E3A8A"/>
          <w:sz w:val="48"/>
        </w:rPr>
        <w:t>Project Integration Assessment Report</w:t>
        <w:br/>
      </w:r>
    </w:p>
    <w:p>
      <w:r>
        <w:rPr>
          <w:rFonts w:ascii="Arial" w:hAnsi="Arial"/>
          <w:i/>
          <w:color w:val="0284C7"/>
          <w:sz w:val="26"/>
        </w:rPr>
        <w:t>Evaluating Gemini-Powered Text-to-Speech Enhancements under High-Traffic Demands</w:t>
      </w:r>
    </w:p>
    <w:p>
      <w:pPr>
        <w:spacing w:after="240"/>
      </w:pPr>
    </w:p>
    <w:p>
      <w:pPr>
        <w:pStyle w:val="Heading1"/>
        <w:spacing w:before="240" w:after="120"/>
      </w:pPr>
      <w:r>
        <w:rPr>
          <w:rFonts w:ascii="Arial" w:hAnsi="Arial"/>
          <w:b/>
          <w:color w:val="1E3A8A"/>
          <w:sz w:val="32"/>
        </w:rPr>
        <w:t>1. Executive Summary</w:t>
      </w:r>
    </w:p>
    <w:p>
      <w:r>
        <w:t>This report provides an architectural and operational assessment of integrating the Google Gemini API within our custom Text-to-Speech (TTS) pipeline. The core intent of this implementation is to automatically sanitize, punctuate, and format raw user transcriptions before passing them to the edge-tts synthesize engine. While the structural implementation of the backend is sound, recent production runtime testing has surfaced critical rate-limiting vulnerabilities.</w:t>
      </w:r>
    </w:p>
    <w:p>
      <w:r>
        <w:t xml:space="preserve">Specifically, during high-demand validation phases, the upstream LLM engine frequently raises </w:t>
      </w:r>
      <w:r>
        <w:rPr>
          <w:b/>
        </w:rPr>
        <w:t>HTTP 503 UNAVAILABLE</w:t>
      </w:r>
      <w:r>
        <w:t xml:space="preserve"> errors, indicating that the selected model is experiencing significant traffic spikes. This document outlines the technical pros and cons of this architectural dependency, emphasizes the immediate operational impacts of heavy upstream traffic, and offers actionable strategies for mitigation.</w:t>
      </w:r>
    </w:p>
    <w:p>
      <w:pPr>
        <w:pStyle w:val="Heading1"/>
        <w:spacing w:before="360" w:after="120"/>
      </w:pPr>
      <w:r>
        <w:rPr>
          <w:rFonts w:ascii="Arial" w:hAnsi="Arial"/>
          <w:b/>
          <w:color w:val="1E3A8A"/>
          <w:sz w:val="32"/>
        </w:rPr>
        <w:t>2. Technical Pros &amp; Cons of Gemini Integration</w:t>
      </w:r>
    </w:p>
    <w:tbl>
      <w:tblPr>
        <w:tblW w:type="auto" w:w="0"/>
        <w:tblLayout w:type="fixed"/>
        <w:tblLook w:firstColumn="1" w:firstRow="1" w:lastColumn="0" w:lastRow="0" w:noHBand="0" w:noVBand="1" w:val="04A0"/>
      </w:tblPr>
      <w:tblGrid>
        <w:gridCol w:w="4680"/>
        <w:gridCol w:w="4680"/>
      </w:tblGrid>
      <w:tr>
        <w:tc>
          <w:tcPr>
            <w:tcW w:type="dxa" w:w="4680"/>
            <w:shd w:fill="1E3A8A"/>
            <w:tcMar>
              <w:top w:w="120" w:type="dxa"/>
              <w:bottom w:w="120" w:type="dxa"/>
              <w:left w:w="150" w:type="dxa"/>
              <w:right w:w="150" w:type="dxa"/>
            </w:tcMar>
          </w:tcPr>
          <w:p>
            <w:r>
              <w:rPr>
                <w:b/>
                <w:color w:val="FFFFFF"/>
                <w:sz w:val="22"/>
              </w:rPr>
              <w:t>Advantages (Pros)</w:t>
            </w:r>
          </w:p>
        </w:tc>
        <w:tc>
          <w:tcPr>
            <w:tcW w:type="dxa" w:w="4680"/>
            <w:shd w:fill="1E3A8A"/>
            <w:tcMar>
              <w:top w:w="120" w:type="dxa"/>
              <w:bottom w:w="120" w:type="dxa"/>
              <w:left w:w="150" w:type="dxa"/>
              <w:right w:w="150" w:type="dxa"/>
            </w:tcMar>
          </w:tcPr>
          <w:p>
            <w:r>
              <w:rPr>
                <w:b/>
                <w:color w:val="FFFFFF"/>
                <w:sz w:val="22"/>
              </w:rPr>
              <w:t>Disadvantages &amp; Bottlenecks (Cons)</w:t>
            </w:r>
          </w:p>
        </w:tc>
      </w:tr>
      <w:tr>
        <w:tc>
          <w:tcPr>
            <w:tcW w:type="dxa" w:w="4680"/>
            <w:shd w:fill="F1F5F9"/>
            <w:tcMar>
              <w:top w:w="100" w:type="dxa"/>
              <w:bottom w:w="100" w:type="dxa"/>
              <w:left w:w="120" w:type="dxa"/>
              <w:right w:w="120" w:type="dxa"/>
            </w:tcMar>
          </w:tcPr>
          <w:p>
            <w:pPr>
              <w:spacing w:line="276" w:lineRule="auto" w:after="80"/>
            </w:pPr>
            <w:r>
              <w:t>• Enhanced TTS Naturalness:</w:t>
              <w:br/>
              <w:t>Automated punctuation fixing directly results in superior, more natural speech cadences and accurate pausing within the edge-tts stream.</w:t>
            </w:r>
          </w:p>
        </w:tc>
        <w:tc>
          <w:tcPr>
            <w:tcW w:type="dxa" w:w="4680"/>
            <w:shd w:fill="F1F5F9"/>
            <w:tcMar>
              <w:top w:w="100" w:type="dxa"/>
              <w:bottom w:w="100" w:type="dxa"/>
              <w:left w:w="120" w:type="dxa"/>
              <w:right w:w="120" w:type="dxa"/>
            </w:tcMar>
          </w:tcPr>
          <w:p>
            <w:pPr>
              <w:spacing w:line="276" w:lineRule="auto" w:after="80"/>
            </w:pPr>
            <w:r>
              <w:t>• Upstream Availability Vulnerability:</w:t>
              <w:br/>
              <w:t>High baseline reliance on third-party cloud infrastructure exposes our pipeline to external service degradation and 503 errors.</w:t>
            </w:r>
          </w:p>
        </w:tc>
      </w:tr>
      <w:tr>
        <w:tc>
          <w:tcPr>
            <w:tcW w:type="dxa" w:w="4680"/>
            <w:shd w:fill="FFFFFF"/>
            <w:tcMar>
              <w:top w:w="100" w:type="dxa"/>
              <w:bottom w:w="100" w:type="dxa"/>
              <w:left w:w="120" w:type="dxa"/>
              <w:right w:w="120" w:type="dxa"/>
            </w:tcMar>
          </w:tcPr>
          <w:p>
            <w:pPr>
              <w:spacing w:line="276" w:lineRule="auto" w:after="80"/>
            </w:pPr>
            <w:r>
              <w:t>• Lightweight Code Footprint:</w:t>
              <w:br/>
              <w:t>Using the official google-genai SDK permits clean asynchronous integration (via aio.models.generate_content) requiring minimal internal boilerplate.</w:t>
            </w:r>
          </w:p>
        </w:tc>
        <w:tc>
          <w:tcPr>
            <w:tcW w:type="dxa" w:w="4680"/>
            <w:shd w:fill="FFFFFF"/>
            <w:tcMar>
              <w:top w:w="100" w:type="dxa"/>
              <w:bottom w:w="100" w:type="dxa"/>
              <w:left w:w="120" w:type="dxa"/>
              <w:right w:w="120" w:type="dxa"/>
            </w:tcMar>
          </w:tcPr>
          <w:p>
            <w:pPr>
              <w:spacing w:line="276" w:lineRule="auto" w:after="80"/>
            </w:pPr>
            <w:r>
              <w:t>• Added Pipeline Latency:</w:t>
              <w:br/>
              <w:t>Introducing a remote generative inference call prior to the TTS generation phase introduces blocking overhead for realtime audio requests.</w:t>
            </w:r>
          </w:p>
        </w:tc>
      </w:tr>
      <w:tr>
        <w:tc>
          <w:tcPr>
            <w:tcW w:type="dxa" w:w="4680"/>
            <w:shd w:fill="F1F5F9"/>
            <w:tcMar>
              <w:top w:w="100" w:type="dxa"/>
              <w:bottom w:w="100" w:type="dxa"/>
              <w:left w:w="120" w:type="dxa"/>
              <w:right w:w="120" w:type="dxa"/>
            </w:tcMar>
          </w:tcPr>
          <w:p>
            <w:pPr>
              <w:spacing w:line="276" w:lineRule="auto" w:after="80"/>
            </w:pPr>
            <w:r>
              <w:t>• Dynamic Formatting Flexibility:</w:t>
              <w:br/>
              <w:t>Capitalization adjustments and contextual text sanitization adjust seamlessly across complex text structures without hardcoded regex patterns.</w:t>
            </w:r>
          </w:p>
        </w:tc>
        <w:tc>
          <w:tcPr>
            <w:tcW w:type="dxa" w:w="4680"/>
            <w:shd w:fill="F1F5F9"/>
            <w:tcMar>
              <w:top w:w="100" w:type="dxa"/>
              <w:bottom w:w="100" w:type="dxa"/>
              <w:left w:w="120" w:type="dxa"/>
              <w:right w:w="120" w:type="dxa"/>
            </w:tcMar>
          </w:tcPr>
          <w:p>
            <w:pPr>
              <w:spacing w:line="276" w:lineRule="auto" w:after="80"/>
            </w:pPr>
            <w:r>
              <w:t>• Strict Version Deprecation Cycles:</w:t>
              <w:br/>
              <w:t>Rapid changes to the Gemini model registry (such as the sudden deprecation of older model strings) trigger fatal 404 NOT FOUND states if environment profiles aren't continuously synchronized.</w:t>
            </w:r>
          </w:p>
        </w:tc>
      </w:tr>
      <w:tr>
        <w:tc>
          <w:tcPr>
            <w:tcW w:type="dxa" w:w="4680"/>
            <w:shd w:fill="FFFFFF"/>
            <w:tcMar>
              <w:top w:w="100" w:type="dxa"/>
              <w:bottom w:w="100" w:type="dxa"/>
              <w:left w:w="120" w:type="dxa"/>
              <w:right w:w="120" w:type="dxa"/>
            </w:tcMar>
          </w:tcPr>
          <w:p>
            <w:pPr>
              <w:spacing w:line="276" w:lineRule="auto" w:after="80"/>
            </w:pPr>
            <w:r>
              <w:t>• Contextual Edge Preservation:</w:t>
              <w:br/>
              <w:t>The orchestration instruction guarantees zero word additions, subtractions, or paraphrasing while applying structure.</w:t>
            </w:r>
          </w:p>
        </w:tc>
        <w:tc>
          <w:tcPr>
            <w:tcW w:type="dxa" w:w="4680"/>
            <w:shd w:fill="FFFFFF"/>
            <w:tcMar>
              <w:top w:w="100" w:type="dxa"/>
              <w:bottom w:w="100" w:type="dxa"/>
              <w:left w:w="120" w:type="dxa"/>
              <w:right w:w="120" w:type="dxa"/>
            </w:tcMar>
          </w:tcPr>
          <w:p>
            <w:pPr>
              <w:spacing w:line="276" w:lineRule="auto" w:after="80"/>
            </w:pPr>
            <w:r>
              <w:t>• Rigid Failover Complexity:</w:t>
              <w:br/>
              <w:t>Demands sophisticated asynchronous exception wrappers to preserve raw un-punctuated text bypass rules when servers fail.</w:t>
            </w:r>
          </w:p>
        </w:tc>
      </w:tr>
    </w:tbl>
    <w:p>
      <w:pPr>
        <w:spacing w:after="240"/>
      </w:pPr>
    </w:p>
    <w:p>
      <w:pPr>
        <w:pStyle w:val="Heading1"/>
        <w:spacing w:before="360" w:after="120"/>
      </w:pPr>
      <w:r>
        <w:rPr>
          <w:rFonts w:ascii="Arial" w:hAnsi="Arial"/>
          <w:b/>
          <w:color w:val="1E3A8A"/>
          <w:sz w:val="32"/>
        </w:rPr>
        <w:t>3. The High-Traffic Bottleneck (503 Analysis)</w:t>
      </w:r>
    </w:p>
    <w:p>
      <w:r>
        <w:t>The primary structural threat to this implementation is the frequency of heavy traffic on the public Google Gemini endpoints. During periods of peak concurrent utilization, the upstream API throws the following structural exception:</w:t>
      </w:r>
    </w:p>
    <w:tbl>
      <w:tblPr>
        <w:tblW w:type="auto" w:w="0"/>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B91C1C"/>
              <w:top w:val="none"/>
              <w:bottom w:val="none"/>
              <w:right w:val="none"/>
            </w:tcBorders>
          </w:tcPr>
          <w:p>
            <w:r>
              <w:rPr>
                <w:b/>
                <w:color w:val="B91C1C"/>
              </w:rPr>
              <w:t>CRITICAL ERROR: 503 UNAVAILABLE</w:t>
              <w:br/>
            </w:r>
            <w:r>
              <w:rPr>
                <w:rFonts w:ascii="Courier New" w:hAnsi="Courier New"/>
                <w:sz w:val="19"/>
              </w:rPr>
              <w:t>{'error': {'code': 503, 'message': 'This model is currently experiencing high demand. Spikes in demand are usually temporary. Please try again later.', 'status': 'UNAVAILABLE'}}</w:t>
            </w:r>
          </w:p>
        </w:tc>
      </w:tr>
    </w:tbl>
    <w:p>
      <w:pPr>
        <w:spacing w:before="240"/>
      </w:pPr>
      <w:r>
        <w:rPr>
          <w:b/>
        </w:rPr>
        <w:t>Implications of High Upstream Load:</w:t>
      </w:r>
    </w:p>
    <w:p>
      <w:pPr>
        <w:pStyle w:val="ListBullet"/>
      </w:pPr>
      <w:r>
        <w:rPr>
          <w:b/>
        </w:rPr>
        <w:t xml:space="preserve">Compromised User Experience: </w:t>
      </w:r>
      <w:r>
        <w:t>When traffic spikes occur, audio response streaming stalls or experiences jitter. Although the python synthesis function safely intercepts the exception to return un-punctuated fallback text, the HTTP request round-trip time is lengthened by the remote failure timeout window.</w:t>
      </w:r>
    </w:p>
    <w:p>
      <w:pPr>
        <w:pStyle w:val="ListBullet"/>
      </w:pPr>
      <w:r>
        <w:rPr>
          <w:b/>
        </w:rPr>
        <w:t xml:space="preserve">SLA Instability: </w:t>
      </w:r>
      <w:r>
        <w:t>The core feature (dynamic LLM-driven formatting) becomes intermittent, degrading the value-add of utilizing a premium punctuation agent.</w:t>
      </w:r>
    </w:p>
    <w:p>
      <w:pPr>
        <w:pStyle w:val="Heading1"/>
        <w:spacing w:before="360" w:after="120"/>
      </w:pPr>
      <w:r>
        <w:rPr>
          <w:rFonts w:ascii="Arial" w:hAnsi="Arial"/>
          <w:b/>
          <w:color w:val="1E3A8A"/>
          <w:sz w:val="32"/>
        </w:rPr>
        <w:t>4. Architectural Recommendations</w:t>
      </w:r>
    </w:p>
    <w:p>
      <w:r>
        <w:t>To protect system throughput from heavy upstream demand, the following modifications are recommended:</w:t>
      </w:r>
    </w:p>
    <w:p>
      <w:pPr>
        <w:pStyle w:val="ListNumber"/>
      </w:pPr>
      <w:r>
        <w:rPr>
          <w:b/>
        </w:rPr>
        <w:t xml:space="preserve">Exponential Backoff and Retries: </w:t>
      </w:r>
      <w:r>
        <w:t>Incorporate an asynchronous retry policy (e.g., via the tenacity library) with jittered exponential backoff to automatically catch short-duration 503 load spikes before returning fallback text.</w:t>
      </w:r>
    </w:p>
    <w:p>
      <w:pPr>
        <w:pStyle w:val="ListNumber"/>
      </w:pPr>
      <w:r>
        <w:rPr>
          <w:b/>
        </w:rPr>
        <w:t xml:space="preserve">Circuit Breaker Design Pattern: </w:t>
      </w:r>
      <w:r>
        <w:t>Implement an internal circuit breaker. If the Gemini API returns more than three consecutive 503 errors, trip the breaker for 60 seconds to immediately routing incoming requests straight to the native edge-tts pipeline, completely bypassing the remote network call to lower overhead.</w:t>
      </w:r>
    </w:p>
    <w:p>
      <w:pPr>
        <w:pStyle w:val="ListNumber"/>
      </w:pPr>
      <w:r>
        <w:rPr>
          <w:b/>
        </w:rPr>
        <w:t xml:space="preserve">Tiered Resource Allocation: </w:t>
      </w:r>
      <w:r>
        <w:t>Consider provisioning a Google Cloud Vertex AI Enterprise endpoint where guaranteed throughput quotas are maintained, moving away from public developer tiers subject to unmanaged community traffic limits.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