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Paper Title* (use style: </w:t>
      </w:r>
      <w:r>
        <w:rPr>
          <w:iCs/>
          <w:kern w:val="2"/>
        </w:rPr>
        <w:t>paper title</w:t>
      </w:r>
      <w:r>
        <w:rPr>
          <w:kern w:val="2"/>
        </w:rPr>
        <w:t>)</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Author"/>
        <w:spacing w:beforeAutospacing="1" w:after="280"/>
        <w:rPr>
          <w:sz w:val="18"/>
          <w:szCs w:val="18"/>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School of Computer Sciences</w:t>
      </w:r>
      <w:r>
        <w:rPr>
          <w:sz w:val="18"/>
          <w:szCs w:val="18"/>
        </w:rPr>
        <w:br/>
        <w:t xml:space="preserve">line 3: </w:t>
      </w:r>
      <w:r>
        <w:rPr>
          <w:i/>
          <w:sz w:val="18"/>
          <w:szCs w:val="18"/>
        </w:rPr>
        <w:t>Universiti Sains Malaysia</w:t>
        <w:br/>
      </w:r>
      <w:r>
        <w:rPr>
          <w:sz w:val="18"/>
          <w:szCs w:val="18"/>
        </w:rPr>
        <w:t>line 4: Penang, Malaysia</w:t>
        <w:br/>
        <w:t>line 5: email address or ORCID</w:t>
      </w:r>
    </w:p>
    <w:p>
      <w:pPr>
        <w:pStyle w:val="Author"/>
        <w:spacing w:beforeAutospacing="1" w:after="40"/>
        <w:rPr>
          <w:sz w:val="18"/>
          <w:szCs w:val="18"/>
        </w:rPr>
      </w:pPr>
      <w:r>
        <w:rPr>
          <w:sz w:val="18"/>
          <w:szCs w:val="18"/>
        </w:rPr>
        <w:t>Lee Jing Wen</w:t>
        <w:br/>
      </w:r>
      <w:r>
        <w:rPr>
          <w:i/>
          <w:sz w:val="18"/>
          <w:szCs w:val="18"/>
        </w:rPr>
        <w:t>School of Computer Sciences</w:t>
      </w:r>
      <w:r>
        <w:rPr>
          <w:sz w:val="18"/>
          <w:szCs w:val="18"/>
        </w:rPr>
        <w:br/>
      </w:r>
      <w:r>
        <w:rPr>
          <w:i/>
          <w:sz w:val="18"/>
          <w:szCs w:val="18"/>
        </w:rPr>
        <w:t>Universiti Sains Malaysia</w:t>
        <w:br/>
      </w:r>
      <w:r>
        <w:rPr>
          <w:sz w:val="18"/>
          <w:szCs w:val="18"/>
        </w:rPr>
        <w:t>Penang, Malaysia</w:t>
        <w:br/>
        <w:t>leejingw@student.usm.my</w:t>
      </w:r>
    </w:p>
    <w:p>
      <w:pPr>
        <w:pStyle w:val="Normal"/>
        <w:rPr/>
      </w:pPr>
      <w:r>
        <w:br w:type="column"/>
      </w:r>
      <w:r>
        <w:rPr>
          <w:sz w:val="18"/>
          <w:szCs w:val="18"/>
        </w:rPr>
        <w:t>line 1: 2</w:t>
      </w:r>
      <w:r>
        <w:rPr>
          <w:sz w:val="18"/>
          <w:szCs w:val="18"/>
          <w:vertAlign w:val="superscript"/>
        </w:rPr>
        <w:t>nd</w:t>
      </w:r>
      <w:r>
        <w:rPr>
          <w:sz w:val="18"/>
          <w:szCs w:val="18"/>
        </w:rPr>
        <w:t xml:space="preserve"> Given Name Surname</w:t>
        <w:br/>
        <w:t xml:space="preserve">line 2: </w:t>
      </w:r>
      <w:r>
        <w:rPr>
          <w:i/>
          <w:sz w:val="18"/>
          <w:szCs w:val="18"/>
        </w:rPr>
        <w:t>School of Computer Sciences</w:t>
      </w:r>
      <w:r>
        <w:rPr>
          <w:sz w:val="18"/>
          <w:szCs w:val="18"/>
        </w:rPr>
        <w:br/>
        <w:t xml:space="preserve">line 3: </w:t>
      </w:r>
      <w:r>
        <w:rPr>
          <w:i/>
          <w:sz w:val="18"/>
          <w:szCs w:val="18"/>
        </w:rPr>
        <w:t xml:space="preserve">Universiti Sains Malaysia </w:t>
        <w:br/>
      </w:r>
      <w:r>
        <w:rPr>
          <w:sz w:val="18"/>
          <w:szCs w:val="18"/>
        </w:rPr>
        <w:t>line 4: Penang, Malaysia</w:t>
        <w:br/>
        <w:t>line 5: email address or ORCID</w:t>
      </w:r>
    </w:p>
    <w:p>
      <w:pPr>
        <w:pStyle w:val="Author"/>
        <w:spacing w:beforeAutospacing="1" w:after="40"/>
        <w:rPr>
          <w:sz w:val="18"/>
          <w:szCs w:val="18"/>
        </w:rPr>
      </w:pPr>
      <w:r>
        <w:rPr>
          <w:sz w:val="18"/>
          <w:szCs w:val="18"/>
        </w:rPr>
        <w:t>line 1: 3</w:t>
      </w:r>
      <w:r>
        <w:rPr>
          <w:sz w:val="18"/>
          <w:szCs w:val="18"/>
          <w:vertAlign w:val="superscript"/>
        </w:rPr>
        <w:t>rd</w:t>
      </w:r>
      <w:r>
        <w:rPr>
          <w:sz w:val="18"/>
          <w:szCs w:val="18"/>
        </w:rPr>
        <w:t xml:space="preserve"> Given Name Surname</w:t>
        <w:br/>
        <w:t xml:space="preserve">line 2: </w:t>
      </w:r>
      <w:r>
        <w:rPr>
          <w:i/>
          <w:sz w:val="18"/>
          <w:szCs w:val="18"/>
        </w:rPr>
        <w:t>School of Computer Sciences</w:t>
      </w:r>
      <w:r>
        <w:rPr>
          <w:sz w:val="18"/>
          <w:szCs w:val="18"/>
        </w:rPr>
        <w:br/>
        <w:t xml:space="preserve">line 3: </w:t>
      </w:r>
      <w:r>
        <w:rPr>
          <w:i/>
          <w:sz w:val="18"/>
          <w:szCs w:val="18"/>
        </w:rPr>
        <w:t xml:space="preserve">Universiti Sains Malaysia </w:t>
        <w:br/>
      </w:r>
      <w:r>
        <w:rPr>
          <w:sz w:val="18"/>
          <w:szCs w:val="18"/>
        </w:rPr>
        <w:t>line 4: Penang, Malaysia</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szCs w:val="24"/>
        </w:rPr>
      </w:pPr>
      <w:r>
        <w:rPr>
          <w:i/>
          <w:iCs/>
        </w:rPr>
        <w:t>Abstract</w:t>
      </w:r>
      <w:r>
        <w:rPr/>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Pr>
          <w:szCs w:val="24"/>
        </w:rPr>
        <w:t xml:space="preserve">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 </w:t>
      </w:r>
      <w:r>
        <w:rPr/>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pPr>
        <w:pStyle w:val="Keywords"/>
        <w:rPr/>
      </w:pPr>
      <w:r>
        <w:rPr/>
        <w:t xml:space="preserve">Keywords—cardiovascular disease (CVD), machine learning, R, </w:t>
      </w:r>
    </w:p>
    <w:p>
      <w:pPr>
        <w:pStyle w:val="Heading1"/>
        <w:numPr>
          <w:ilvl w:val="0"/>
          <w:numId w:val="2"/>
        </w:numPr>
        <w:ind w:hanging="0"/>
        <w:rPr/>
      </w:pPr>
      <w:r>
        <w:rPr/>
        <w:t>Introduction</w:t>
      </w:r>
    </w:p>
    <w:p>
      <w:pPr>
        <w:pStyle w:val="TextBody"/>
        <w:rPr/>
      </w:pPr>
      <w:r>
        <w:rPr/>
        <w:t>Cardiovascular disease or in-short CVD is a type of diseases with the involvement of the heart or blood vessels. CVDs include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pPr>
        <w:pStyle w:val="TextBody"/>
        <w:rPr>
          <w:szCs w:val="24"/>
        </w:rPr>
      </w:pPr>
      <w:r>
        <w:rPr>
          <w:szCs w:val="24"/>
        </w:rPr>
        <w:t>According to the Deputy Health Minister Dr Lee Boon Chye, for 13 years from 2005 to 2017, cardiovascular disease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pPr>
        <w:pStyle w:val="TextBody"/>
        <w:rPr/>
      </w:pPr>
      <w:r>
        <w:rP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Pr>
          <w:lang w:val="en-US"/>
        </w:rPr>
        <w:t xml:space="preserve">test </w:t>
      </w:r>
      <w:r>
        <w:rPr/>
        <w:t>procedure.</w:t>
      </w:r>
    </w:p>
    <w:p>
      <w:pPr>
        <w:pStyle w:val="TextBody"/>
        <w:rPr/>
      </w:pPr>
      <w:r>
        <w:rP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on CVD can be made. </w:t>
      </w:r>
    </w:p>
    <w:p>
      <w:pPr>
        <w:pStyle w:val="Heading1"/>
        <w:numPr>
          <w:ilvl w:val="0"/>
          <w:numId w:val="2"/>
        </w:numPr>
        <w:ind w:hanging="0"/>
        <w:rPr/>
      </w:pPr>
      <w:r>
        <w:rPr/>
        <w:t>Background and literature review</w:t>
      </w:r>
    </w:p>
    <w:p>
      <w:pPr>
        <w:pStyle w:val="TextBody"/>
        <w:rPr/>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pPr>
        <w:pStyle w:val="TextBody"/>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TextBody"/>
        <w:rPr/>
      </w:pPr>
      <w:r>
        <w:rPr>
          <w:lang w:val="en"/>
        </w:rPr>
        <w:t>Muthuvel etc [9] summarized the researches of heart disease prediction using Machine Learning and other data analytics approaches. It is seen that in recent 5 years the main paradigm of research of this problem has been shifted to common attributes-based as mentioned beforehand.</w:t>
      </w:r>
    </w:p>
    <w:p>
      <w:pPr>
        <w:pStyle w:val="TextBody"/>
        <w:rPr>
          <w:lang w:val="en"/>
        </w:rPr>
      </w:pPr>
      <w:r>
        <w:rPr>
          <w:lang w:val="en"/>
        </w:rPr>
        <w:t>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and also key factors in early stages of diagnosing heart diseases. These more professional attributes indicate the common practice of leveraging the prediction of risks based on “better safe than sorry” principle and this results in high false negative rate in machine learning.</w:t>
      </w:r>
    </w:p>
    <w:p>
      <w:pPr>
        <w:pStyle w:val="Heading1"/>
        <w:numPr>
          <w:ilvl w:val="0"/>
          <w:numId w:val="2"/>
        </w:numPr>
        <w:ind w:hanging="0"/>
        <w:rPr/>
      </w:pPr>
      <w:r>
        <w:rPr/>
        <w:t>data analysis and interpretation</w:t>
      </w:r>
    </w:p>
    <w:p>
      <w:pPr>
        <w:pStyle w:val="Heading2"/>
        <w:numPr>
          <w:ilvl w:val="1"/>
          <w:numId w:val="2"/>
        </w:numPr>
        <w:rPr/>
      </w:pPr>
      <w:r>
        <w:rPr/>
        <w:t>Source of the dataset</w:t>
      </w:r>
    </w:p>
    <w:p>
      <w:pPr>
        <w:pStyle w:val="TextBody"/>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pPr>
        <w:pStyle w:val="Heading2"/>
        <w:numPr>
          <w:ilvl w:val="1"/>
          <w:numId w:val="2"/>
        </w:numPr>
        <w:rPr/>
      </w:pPr>
      <w:r>
        <w:rPr/>
        <w:t>Identification of attribute</w:t>
      </w:r>
    </w:p>
    <w:p>
      <w:pPr>
        <w:pStyle w:val="TextBody"/>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BloodPressure which uses systolic and diastolic blood pressure to categorize into lower than normal (-1), normal (0) and higher than normal (1). </w:t>
      </w:r>
    </w:p>
    <w:p>
      <w:pPr>
        <w:pStyle w:val="Normal"/>
        <w:rPr>
          <w:rFonts w:ascii="Symbol" w:hAnsi="Symbol"/>
        </w:rPr>
      </w:pPr>
      <w:r>
        <w:rPr/>
      </w:r>
      <m:oMath xmlns:m="http://schemas.openxmlformats.org/officeDocument/2006/math">
        <m:r>
          <w:rPr>
            <w:rFonts w:ascii="Cambria Math" w:hAnsi="Cambria Math"/>
          </w:rPr>
          <m:t xml:space="preserve">BMI</m:t>
        </m:r>
        <m:r>
          <w:rPr>
            <w:rFonts w:ascii="Cambria Math" w:hAnsi="Cambria Math"/>
          </w:rPr>
          <m:t xml:space="preserve">=</m:t>
        </m:r>
        <m:f>
          <m:num>
            <m:r>
              <w:rPr>
                <w:rFonts w:ascii="Cambria Math" w:hAnsi="Cambria Math"/>
              </w:rPr>
              <m:t xml:space="preserve">weight</m:t>
            </m:r>
            <m:d>
              <m:dPr>
                <m:begChr m:val="("/>
                <m:endChr m:val=")"/>
              </m:dPr>
              <m:e>
                <m:r>
                  <w:rPr>
                    <w:rFonts w:ascii="Cambria Math" w:hAnsi="Cambria Math"/>
                  </w:rPr>
                  <m:t xml:space="preserve">kg</m:t>
                </m:r>
              </m:e>
            </m:d>
          </m:num>
          <m:den>
            <m:r>
              <w:rPr>
                <w:rFonts w:ascii="Cambria Math" w:hAnsi="Cambria Math"/>
              </w:rPr>
              <m:t xml:space="preserve">height</m:t>
            </m:r>
            <m:d>
              <m:dPr>
                <m:begChr m:val="("/>
                <m:endChr m:val=")"/>
              </m:dPr>
              <m:e>
                <m:sSup>
                  <m:e>
                    <m:r>
                      <w:rPr>
                        <w:rFonts w:ascii="Cambria Math" w:hAnsi="Cambria Math"/>
                      </w:rPr>
                      <m:t xml:space="preserve">m</m:t>
                    </m:r>
                  </m:e>
                  <m:sup>
                    <m:r>
                      <w:rPr>
                        <w:rFonts w:ascii="Cambria Math" w:hAnsi="Cambria Math"/>
                      </w:rPr>
                      <m:t xml:space="preserve">2</m:t>
                    </m:r>
                  </m:sup>
                </m:sSup>
              </m:e>
            </m:d>
          </m:den>
        </m:f>
      </m:oMath>
    </w:p>
    <w:p>
      <w:pPr>
        <w:pStyle w:val="Normal"/>
        <w:rPr>
          <w:rFonts w:ascii="Symbol" w:hAnsi="Symbol"/>
        </w:rPr>
      </w:pPr>
      <w:r>
        <w:rPr>
          <w:rFonts w:ascii="Symbol" w:hAnsi="Symbol"/>
        </w:rPr>
      </w:r>
    </w:p>
    <w:p>
      <w:pPr>
        <w:pStyle w:val="Normal"/>
        <w:rPr>
          <w:rFonts w:eastAsia="等线" w:eastAsiaTheme="minorEastAsia"/>
        </w:rPr>
      </w:pPr>
      <w:r>
        <w:rPr/>
      </w:r>
      <m:oMath xmlns:m="http://schemas.openxmlformats.org/officeDocument/2006/math">
        <m:r>
          <w:rPr>
            <w:rFonts w:ascii="Cambria Math" w:hAnsi="Cambria Math"/>
          </w:rPr>
          <m:t xml:space="preserve">Age</m:t>
        </m:r>
        <m:d>
          <m:dPr>
            <m:begChr m:val="("/>
            <m:endChr m:val=")"/>
          </m:dPr>
          <m:e>
            <m:r>
              <w:rPr>
                <w:rFonts w:ascii="Cambria Math" w:hAnsi="Cambria Math"/>
              </w:rPr>
              <m:t xml:space="preserve">year</m:t>
            </m:r>
          </m:e>
        </m:d>
        <m:r>
          <w:rPr>
            <w:rFonts w:ascii="Cambria Math" w:hAnsi="Cambria Math"/>
          </w:rPr>
          <m:t xml:space="preserve">=</m:t>
        </m:r>
        <m:f>
          <m:num>
            <m:r>
              <w:rPr>
                <w:rFonts w:ascii="Cambria Math" w:hAnsi="Cambria Math"/>
              </w:rPr>
              <m:t xml:space="preserve">Age</m:t>
            </m:r>
            <m:d>
              <m:dPr>
                <m:begChr m:val="("/>
                <m:endChr m:val=")"/>
              </m:dPr>
              <m:e>
                <m:r>
                  <w:rPr>
                    <w:rFonts w:ascii="Cambria Math" w:hAnsi="Cambria Math"/>
                  </w:rPr>
                  <m:t xml:space="preserve">day</m:t>
                </m:r>
              </m:e>
            </m:d>
          </m:num>
          <m:den>
            <m:r>
              <w:rPr>
                <w:rFonts w:ascii="Cambria Math" w:hAnsi="Cambria Math"/>
              </w:rPr>
              <m:t xml:space="preserve">365</m:t>
            </m:r>
          </m:den>
        </m:f>
      </m:oMath>
    </w:p>
    <w:p>
      <w:pPr>
        <w:pStyle w:val="Normal"/>
        <w:rPr>
          <w:rFonts w:eastAsia="等线" w:eastAsiaTheme="minorEastAsia"/>
        </w:rPr>
      </w:pPr>
      <w:r>
        <w:rPr>
          <w:rFonts w:eastAsia="等线" w:eastAsiaTheme="minorEastAsia"/>
        </w:rPr>
      </w:r>
    </w:p>
    <w:tbl>
      <w:tblPr>
        <w:tblStyle w:val="TableGrid"/>
        <w:tblW w:w="4856" w:type="dxa"/>
        <w:jc w:val="left"/>
        <w:tblInd w:w="0" w:type="dxa"/>
        <w:tblCellMar>
          <w:top w:w="0" w:type="dxa"/>
          <w:left w:w="108" w:type="dxa"/>
          <w:bottom w:w="0" w:type="dxa"/>
          <w:right w:w="108" w:type="dxa"/>
        </w:tblCellMar>
        <w:tblLook w:noVBand="1" w:noHBand="0" w:firstColumn="1" w:lastRow="0" w:lastColumn="0" w:firstRow="1"/>
      </w:tblPr>
      <w:tblGrid>
        <w:gridCol w:w="1525"/>
        <w:gridCol w:w="2070"/>
        <w:gridCol w:w="1261"/>
      </w:tblGrid>
      <w:tr>
        <w:trPr/>
        <w:tc>
          <w:tcPr>
            <w:tcW w:w="1525"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Systolic blood pressure</w:t>
            </w:r>
          </w:p>
        </w:tc>
        <w:tc>
          <w:tcPr>
            <w:tcW w:w="2070"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Diastolic blood pressure</w:t>
            </w:r>
          </w:p>
        </w:tc>
        <w:tc>
          <w:tcPr>
            <w:tcW w:w="1261"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BloodPressure</w:t>
            </w:r>
          </w:p>
        </w:tc>
      </w:tr>
      <w:tr>
        <w:trPr/>
        <w:tc>
          <w:tcPr>
            <w:tcW w:w="1525"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or equal to 140</w:t>
            </w:r>
          </w:p>
        </w:tc>
        <w:tc>
          <w:tcPr>
            <w:tcW w:w="2070"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or equal to 90</w:t>
            </w:r>
          </w:p>
        </w:tc>
        <w:tc>
          <w:tcPr>
            <w:tcW w:w="1261"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1</w:t>
            </w:r>
          </w:p>
        </w:tc>
      </w:tr>
      <w:tr>
        <w:trPr/>
        <w:tc>
          <w:tcPr>
            <w:tcW w:w="1525"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Less or equal to 90</w:t>
            </w:r>
          </w:p>
        </w:tc>
        <w:tc>
          <w:tcPr>
            <w:tcW w:w="2070"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Less or equal to 60</w:t>
            </w:r>
          </w:p>
        </w:tc>
        <w:tc>
          <w:tcPr>
            <w:tcW w:w="1261"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-1</w:t>
            </w:r>
          </w:p>
        </w:tc>
      </w:tr>
      <w:tr>
        <w:trPr/>
        <w:tc>
          <w:tcPr>
            <w:tcW w:w="1525"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than 90 and less than 140</w:t>
            </w:r>
          </w:p>
        </w:tc>
        <w:tc>
          <w:tcPr>
            <w:tcW w:w="2070"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More than 60 and less than 90</w:t>
            </w:r>
          </w:p>
        </w:tc>
        <w:tc>
          <w:tcPr>
            <w:tcW w:w="1261" w:type="dxa"/>
            <w:tcBorders/>
            <w:shd w:fill="auto" w:val="clear"/>
          </w:tcPr>
          <w:p>
            <w:pPr>
              <w:pStyle w:val="Normal"/>
              <w:jc w:val="left"/>
              <w:rPr>
                <w:rFonts w:ascii="Times New Roman" w:hAnsi="Times New Roman" w:cs="Times New Roman"/>
                <w:sz w:val="16"/>
                <w:szCs w:val="16"/>
              </w:rPr>
            </w:pPr>
            <w:r>
              <w:rPr>
                <w:rFonts w:eastAsia="Calibri" w:cs="Times New Roman" w:ascii="Calibri" w:hAnsi="Calibri" w:eastAsiaTheme="minorHAnsi"/>
                <w:sz w:val="16"/>
                <w:szCs w:val="16"/>
                <w:lang w:val="en-MY"/>
              </w:rPr>
              <w:t>0</w:t>
            </w:r>
          </w:p>
        </w:tc>
      </w:tr>
    </w:tbl>
    <w:p>
      <w:pPr>
        <w:pStyle w:val="Normal"/>
        <w:rPr/>
      </w:pPr>
      <w:r>
        <w:rPr/>
      </w:r>
    </w:p>
    <w:p>
      <w:pPr>
        <w:pStyle w:val="TextBody"/>
        <w:rPr>
          <w:bCs/>
          <w:szCs w:val="24"/>
        </w:rPr>
      </w:pPr>
      <w:r>
        <w:rPr>
          <w:bCs/>
          <w:szCs w:val="24"/>
        </w:rPr>
        <w:t>The summarized data description is stated at the table below:</w:t>
      </w:r>
    </w:p>
    <w:tbl>
      <w:tblPr>
        <w:tblStyle w:val="TableGrid"/>
        <w:tblW w:w="4856" w:type="dxa"/>
        <w:jc w:val="left"/>
        <w:tblInd w:w="0" w:type="dxa"/>
        <w:tblCellMar>
          <w:top w:w="0" w:type="dxa"/>
          <w:left w:w="108" w:type="dxa"/>
          <w:bottom w:w="0" w:type="dxa"/>
          <w:right w:w="108" w:type="dxa"/>
        </w:tblCellMar>
        <w:tblLook w:noVBand="1" w:noHBand="0" w:firstColumn="1" w:lastRow="0" w:lastColumn="0" w:firstRow="1"/>
      </w:tblPr>
      <w:tblGrid>
        <w:gridCol w:w="1155"/>
        <w:gridCol w:w="1246"/>
        <w:gridCol w:w="1299"/>
        <w:gridCol w:w="1155"/>
      </w:tblGrid>
      <w:tr>
        <w:trPr/>
        <w:tc>
          <w:tcPr>
            <w:tcW w:w="1155"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Attribute</w:t>
            </w:r>
          </w:p>
        </w:tc>
        <w:tc>
          <w:tcPr>
            <w:tcW w:w="1246"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Attribute Name</w:t>
            </w:r>
          </w:p>
        </w:tc>
        <w:tc>
          <w:tcPr>
            <w:tcW w:w="1299"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Types of features</w:t>
            </w:r>
          </w:p>
        </w:tc>
        <w:tc>
          <w:tcPr>
            <w:tcW w:w="1155" w:type="dxa"/>
            <w:tcBorders/>
            <w:shd w:fill="auto" w:val="clear"/>
          </w:tcPr>
          <w:p>
            <w:pPr>
              <w:pStyle w:val="Normal"/>
              <w:rPr>
                <w:rFonts w:ascii="Times New Roman" w:hAnsi="Times New Roman" w:cs="Times New Roman"/>
                <w:b/>
                <w:b/>
                <w:bCs/>
                <w:sz w:val="16"/>
                <w:szCs w:val="16"/>
              </w:rPr>
            </w:pPr>
            <w:r>
              <w:rPr>
                <w:rFonts w:eastAsia="Calibri" w:cs="Times New Roman" w:ascii="Calibri" w:hAnsi="Calibri" w:eastAsiaTheme="minorHAnsi"/>
                <w:b/>
                <w:bCs/>
                <w:sz w:val="16"/>
                <w:szCs w:val="16"/>
                <w:lang w:val="en-MY"/>
              </w:rPr>
              <w:t>Data Type</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age</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Age</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 (days)</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gender</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Gender</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Categorical code</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 xml:space="preserve">height </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Height</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 (cm)</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weight</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Weight</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Objective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Float (kg)</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ap_hi</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Systolic blood pressure</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ap_lo</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Diastolic blood pressure</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Integer</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cholesterol</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Cholesterol</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1: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2: above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3: well above normal</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gluc</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Glucose</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Examination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1: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2: above normal</w:t>
            </w:r>
          </w:p>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3: well above normal</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smoke</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Smoking</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Subjective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alco</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Alcohol intake</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Subjective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active</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Physical activity</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Input, Subjective feature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cardio</w:t>
            </w:r>
          </w:p>
        </w:tc>
        <w:tc>
          <w:tcPr>
            <w:tcW w:w="1246"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Presence or absence of cardiovascular disease</w:t>
            </w:r>
          </w:p>
        </w:tc>
        <w:tc>
          <w:tcPr>
            <w:tcW w:w="1299"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Target Variable</w:t>
            </w:r>
          </w:p>
        </w:tc>
        <w:tc>
          <w:tcPr>
            <w:tcW w:w="1155" w:type="dxa"/>
            <w:tcBorders/>
            <w:shd w:fill="auto" w:val="clear"/>
          </w:tcPr>
          <w:p>
            <w:pPr>
              <w:pStyle w:val="Normal"/>
              <w:jc w:val="left"/>
              <w:rPr>
                <w:rFonts w:ascii="Times New Roman" w:hAnsi="Times New Roman" w:cs="Times New Roman"/>
                <w:bCs/>
                <w:sz w:val="16"/>
                <w:szCs w:val="16"/>
              </w:rPr>
            </w:pPr>
            <w:r>
              <w:rPr>
                <w:rFonts w:eastAsia="Calibri" w:cs="Times New Roman" w:ascii="Calibri" w:hAnsi="Calibri" w:eastAsiaTheme="minorHAnsi"/>
                <w:bCs/>
                <w:sz w:val="16"/>
                <w:szCs w:val="16"/>
                <w:lang w:val="en-MY"/>
              </w:rPr>
              <w:t>Binary</w:t>
            </w:r>
          </w:p>
        </w:tc>
      </w:tr>
      <w:tr>
        <w:trPr/>
        <w:tc>
          <w:tcPr>
            <w:tcW w:w="1155"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BMI</w:t>
            </w:r>
          </w:p>
        </w:tc>
        <w:tc>
          <w:tcPr>
            <w:tcW w:w="1246"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BMI</w:t>
            </w:r>
          </w:p>
        </w:tc>
        <w:tc>
          <w:tcPr>
            <w:tcW w:w="1299"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Input, Objective feature</w:t>
            </w:r>
          </w:p>
        </w:tc>
        <w:tc>
          <w:tcPr>
            <w:tcW w:w="1155"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Float</w:t>
            </w:r>
          </w:p>
        </w:tc>
      </w:tr>
      <w:tr>
        <w:trPr/>
        <w:tc>
          <w:tcPr>
            <w:tcW w:w="1155"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BloodPressure</w:t>
            </w:r>
          </w:p>
        </w:tc>
        <w:tc>
          <w:tcPr>
            <w:tcW w:w="1246"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Blood Pressure</w:t>
            </w:r>
          </w:p>
        </w:tc>
        <w:tc>
          <w:tcPr>
            <w:tcW w:w="1299"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Input, Examination feature</w:t>
            </w:r>
          </w:p>
        </w:tc>
        <w:tc>
          <w:tcPr>
            <w:tcW w:w="1155" w:type="dxa"/>
            <w:tcBorders/>
            <w:shd w:fill="auto" w:val="clear"/>
          </w:tcPr>
          <w:p>
            <w:pPr>
              <w:pStyle w:val="Normal"/>
              <w:jc w:val="left"/>
              <w:rPr>
                <w:bCs/>
                <w:sz w:val="16"/>
                <w:szCs w:val="16"/>
              </w:rPr>
            </w:pPr>
            <w:r>
              <w:rPr>
                <w:rFonts w:eastAsia="Calibri" w:cs="" w:ascii="Calibri" w:hAnsi="Calibri" w:cstheme="minorBidi" w:eastAsiaTheme="minorHAnsi"/>
                <w:bCs/>
                <w:sz w:val="16"/>
                <w:szCs w:val="16"/>
                <w:lang w:val="en-MY"/>
              </w:rPr>
              <w:t>Integer</w:t>
            </w:r>
          </w:p>
        </w:tc>
      </w:tr>
    </w:tbl>
    <w:p>
      <w:pPr>
        <w:pStyle w:val="Heading1"/>
        <w:numPr>
          <w:ilvl w:val="0"/>
          <w:numId w:val="2"/>
        </w:numPr>
        <w:ind w:hanging="0"/>
        <w:rPr/>
      </w:pPr>
      <w:r>
        <w:rPr/>
        <w:t>Data exploring</w:t>
      </w:r>
    </w:p>
    <w:p>
      <w:pPr>
        <w:pStyle w:val="Normal"/>
        <w:jc w:val="both"/>
        <w:rPr>
          <w:bCs/>
          <w:szCs w:val="24"/>
        </w:rPr>
      </w:pPr>
      <w:r>
        <w:rPr>
          <w:bCs/>
          <w:szCs w:val="24"/>
        </w:rPr>
        <w:t>The class distribution of the target attribute, cardio is balanced as seen in the figure below:</w:t>
      </w:r>
    </w:p>
    <w:p>
      <w:pPr>
        <w:pStyle w:val="Normal"/>
        <w:rPr>
          <w:b/>
          <w:b/>
          <w:bCs/>
          <w:sz w:val="24"/>
          <w:szCs w:val="24"/>
        </w:rPr>
      </w:pPr>
      <w:r>
        <w:rPr/>
        <w:drawing>
          <wp:inline distT="0" distB="0" distL="0" distR="0">
            <wp:extent cx="3002915" cy="17519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3002915" cy="1751965"/>
                    </a:xfrm>
                    <a:prstGeom prst="rect">
                      <a:avLst/>
                    </a:prstGeom>
                  </pic:spPr>
                </pic:pic>
              </a:graphicData>
            </a:graphic>
          </wp:inline>
        </w:drawing>
      </w:r>
    </w:p>
    <w:p>
      <w:pPr>
        <w:pStyle w:val="Normal"/>
        <w:rPr/>
      </w:pPr>
      <w:r>
        <w:rPr/>
      </w:r>
    </w:p>
    <w:p>
      <w:pPr>
        <w:pStyle w:val="Normal"/>
        <w:rPr/>
      </w:pPr>
      <w:r>
        <w:rPr/>
        <w:drawing>
          <wp:inline distT="0" distB="0" distL="0" distR="0">
            <wp:extent cx="2775585" cy="192405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4"/>
                    <a:stretch>
                      <a:fillRect/>
                    </a:stretch>
                  </pic:blipFill>
                  <pic:spPr bwMode="auto">
                    <a:xfrm>
                      <a:off x="0" y="0"/>
                      <a:ext cx="2775585" cy="1924050"/>
                    </a:xfrm>
                    <a:prstGeom prst="rect">
                      <a:avLst/>
                    </a:prstGeom>
                  </pic:spPr>
                </pic:pic>
              </a:graphicData>
            </a:graphic>
          </wp:inline>
        </w:drawing>
      </w:r>
    </w:p>
    <w:p>
      <w:pPr>
        <w:pStyle w:val="Normal"/>
        <w:rPr/>
      </w:pPr>
      <w:r>
        <w:rPr/>
      </w:r>
    </w:p>
    <w:p>
      <w:pPr>
        <w:pStyle w:val="Heading2"/>
        <w:numPr>
          <w:ilvl w:val="1"/>
          <w:numId w:val="2"/>
        </w:numPr>
        <w:rPr/>
      </w:pPr>
      <w:r>
        <w:rPr/>
        <w:t>Density plot</w:t>
      </w:r>
    </w:p>
    <w:p>
      <w:pPr>
        <w:pStyle w:val="Heading3"/>
        <w:numPr>
          <w:ilvl w:val="2"/>
          <w:numId w:val="2"/>
        </w:numPr>
        <w:ind w:firstLine="288"/>
        <w:rPr/>
      </w:pPr>
      <w:r>
        <w:rPr/>
        <w:t>Age Density Plot</w:t>
      </w:r>
    </w:p>
    <w:p>
      <w:pPr>
        <w:pStyle w:val="Normal"/>
        <w:rPr/>
      </w:pPr>
      <w:r>
        <w:rPr/>
        <w:drawing>
          <wp:inline distT="0" distB="0" distL="0" distR="0">
            <wp:extent cx="3089910" cy="1802765"/>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5"/>
                    <a:stretch>
                      <a:fillRect/>
                    </a:stretch>
                  </pic:blipFill>
                  <pic:spPr bwMode="auto">
                    <a:xfrm>
                      <a:off x="0" y="0"/>
                      <a:ext cx="3089910" cy="1802765"/>
                    </a:xfrm>
                    <a:prstGeom prst="rect">
                      <a:avLst/>
                    </a:prstGeom>
                  </pic:spPr>
                </pic:pic>
              </a:graphicData>
            </a:graphic>
          </wp:inline>
        </w:drawing>
      </w:r>
    </w:p>
    <w:p>
      <w:pPr>
        <w:pStyle w:val="Normal"/>
        <w:jc w:val="both"/>
        <w:rPr>
          <w:bCs/>
        </w:rPr>
      </w:pPr>
      <w:r>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pPr>
        <w:pStyle w:val="Normal"/>
        <w:jc w:val="both"/>
        <w:rPr>
          <w:bCs/>
        </w:rPr>
      </w:pPr>
      <w:r>
        <w:rPr>
          <w:bCs/>
        </w:rPr>
      </w:r>
    </w:p>
    <w:p>
      <w:pPr>
        <w:pStyle w:val="Heading3"/>
        <w:numPr>
          <w:ilvl w:val="2"/>
          <w:numId w:val="2"/>
        </w:numPr>
        <w:ind w:firstLine="288"/>
        <w:rPr/>
      </w:pPr>
      <w:r>
        <w:rPr/>
        <w:t>Height Density Plot</w:t>
      </w:r>
    </w:p>
    <w:p>
      <w:pPr>
        <w:pStyle w:val="Normal"/>
        <w:rPr/>
      </w:pPr>
      <w:r>
        <w:rPr/>
      </w:r>
    </w:p>
    <w:p>
      <w:pPr>
        <w:pStyle w:val="Normal"/>
        <w:rPr/>
      </w:pPr>
      <w:r>
        <w:rPr/>
        <w:drawing>
          <wp:inline distT="0" distB="0" distL="0" distR="0">
            <wp:extent cx="3089910" cy="180276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6"/>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jc w:val="both"/>
        <w:rPr/>
      </w:pPr>
      <w:r>
        <w:rPr>
          <w:bCs/>
        </w:rPr>
        <w:t xml:space="preserve">The peak density of the distribution is at the height of 164cm. The distribution displayed multimodality characteristics with multiple peaks. There seems to be no trend in identifying whether patients have cardiovascular diseases in the height attribute, since the distribution are the same for both classes. Outliers are present in the Height data. </w:t>
      </w:r>
    </w:p>
    <w:p>
      <w:pPr>
        <w:pStyle w:val="Normal"/>
        <w:rPr/>
      </w:pPr>
      <w:r>
        <w:rPr/>
      </w:r>
    </w:p>
    <w:p>
      <w:pPr>
        <w:pStyle w:val="Normal"/>
        <w:rPr/>
      </w:pPr>
      <w:r>
        <w:rPr/>
      </w:r>
    </w:p>
    <w:p>
      <w:pPr>
        <w:pStyle w:val="Normal"/>
        <w:rPr/>
      </w:pPr>
      <w:r>
        <w:rPr/>
        <w:drawing>
          <wp:inline distT="0" distB="0" distL="0" distR="0">
            <wp:extent cx="3089910" cy="1906905"/>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7"/>
                    <a:stretch>
                      <a:fillRect/>
                    </a:stretch>
                  </pic:blipFill>
                  <pic:spPr bwMode="auto">
                    <a:xfrm>
                      <a:off x="0" y="0"/>
                      <a:ext cx="3089910" cy="1906905"/>
                    </a:xfrm>
                    <a:prstGeom prst="rect">
                      <a:avLst/>
                    </a:prstGeom>
                  </pic:spPr>
                </pic:pic>
              </a:graphicData>
            </a:graphic>
          </wp:inline>
        </w:drawing>
      </w:r>
    </w:p>
    <w:p>
      <w:pPr>
        <w:pStyle w:val="Heading3"/>
        <w:numPr>
          <w:ilvl w:val="2"/>
          <w:numId w:val="2"/>
        </w:numPr>
        <w:ind w:firstLine="288"/>
        <w:rPr/>
      </w:pPr>
      <w:r>
        <w:rPr/>
        <w:t>Weight Density Plot</w:t>
      </w:r>
    </w:p>
    <w:p>
      <w:pPr>
        <w:pStyle w:val="Normal"/>
        <w:rPr/>
      </w:pPr>
      <w:r>
        <w:rPr/>
      </w:r>
    </w:p>
    <w:p>
      <w:pPr>
        <w:pStyle w:val="Normal"/>
        <w:rPr/>
      </w:pPr>
      <w:r>
        <w:rPr/>
      </w:r>
    </w:p>
    <w:p>
      <w:pPr>
        <w:pStyle w:val="Normal"/>
        <w:rPr/>
      </w:pPr>
      <w:r>
        <w:rPr/>
        <w:drawing>
          <wp:inline distT="0" distB="0" distL="0" distR="0">
            <wp:extent cx="3089910" cy="1802765"/>
            <wp:effectExtent l="0" t="0" r="0" b="0"/>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8"/>
                    <a:stretch>
                      <a:fillRect/>
                    </a:stretch>
                  </pic:blipFill>
                  <pic:spPr bwMode="auto">
                    <a:xfrm>
                      <a:off x="0" y="0"/>
                      <a:ext cx="3089910" cy="1802765"/>
                    </a:xfrm>
                    <a:prstGeom prst="rect">
                      <a:avLst/>
                    </a:prstGeom>
                  </pic:spPr>
                </pic:pic>
              </a:graphicData>
            </a:graphic>
          </wp:inline>
        </w:drawing>
      </w:r>
    </w:p>
    <w:p>
      <w:pPr>
        <w:pStyle w:val="Normal"/>
        <w:jc w:val="both"/>
        <w:rPr/>
      </w:pPr>
      <w:r>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 The mean weight of patients with CVD was slightly higher than those without. There are a few outliers in the weight attribute.</w:t>
      </w:r>
    </w:p>
    <w:p>
      <w:pPr>
        <w:pStyle w:val="Normal"/>
        <w:rPr/>
      </w:pPr>
      <w:r>
        <w:rPr/>
      </w:r>
    </w:p>
    <w:p>
      <w:pPr>
        <w:pStyle w:val="Heading3"/>
        <w:numPr>
          <w:ilvl w:val="2"/>
          <w:numId w:val="2"/>
        </w:numPr>
        <w:ind w:firstLine="288"/>
        <w:rPr/>
      </w:pPr>
      <w:r>
        <w:rPr/>
        <w:t>BMI Density Plot</w:t>
      </w:r>
    </w:p>
    <w:p>
      <w:pPr>
        <w:pStyle w:val="Normal"/>
        <w:rPr/>
      </w:pPr>
      <w:r>
        <w:rPr/>
        <w:drawing>
          <wp:inline distT="0" distB="0" distL="0" distR="0">
            <wp:extent cx="3089910" cy="1802765"/>
            <wp:effectExtent l="0" t="0" r="0" b="0"/>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9"/>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jc w:val="both"/>
        <w:rPr>
          <w:bCs/>
          <w:szCs w:val="24"/>
        </w:rPr>
      </w:pPr>
      <w:r>
        <w:rPr>
          <w:bCs/>
          <w:szCs w:val="24"/>
        </w:rPr>
        <w:t>Since BMI is calculated using attribute weight and height, we can see that the BMI distribution shows unimodality characteristic. The peak density of the distribution is above 0.11 where patients do not have cardiovascular disease. It can be determined that patients with cardiovascular diseases are more present when BMI is at 28 onwards. The mean of distribution where patients has CVD was slightly higher compared to patients without CVD. Since BMI is calculated from Height and Weight where outliers are present in both attributes, leading the BMI data to have outliers too.</w:t>
      </w:r>
    </w:p>
    <w:p>
      <w:pPr>
        <w:pStyle w:val="Normal"/>
        <w:jc w:val="both"/>
        <w:rPr>
          <w:bCs/>
          <w:szCs w:val="24"/>
        </w:rPr>
      </w:pPr>
      <w:r>
        <w:rPr>
          <w:bCs/>
          <w:szCs w:val="24"/>
        </w:rPr>
      </w:r>
    </w:p>
    <w:p>
      <w:pPr>
        <w:pStyle w:val="Heading3"/>
        <w:numPr>
          <w:ilvl w:val="2"/>
          <w:numId w:val="2"/>
        </w:numPr>
        <w:ind w:firstLine="288"/>
        <w:rPr/>
      </w:pPr>
      <w:r>
        <w:rPr/>
        <w:t>Systole Density Plot</w:t>
      </w:r>
    </w:p>
    <w:p>
      <w:pPr>
        <w:pStyle w:val="Normal"/>
        <w:rPr/>
      </w:pPr>
      <w:r>
        <w:rPr/>
      </w:r>
    </w:p>
    <w:p>
      <w:pPr>
        <w:pStyle w:val="Normal"/>
        <w:rPr/>
      </w:pPr>
      <w:r>
        <w:rPr/>
        <w:drawing>
          <wp:inline distT="0" distB="0" distL="0" distR="0">
            <wp:extent cx="3089910" cy="180276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0"/>
                    <a:stretch>
                      <a:fillRect/>
                    </a:stretch>
                  </pic:blipFill>
                  <pic:spPr bwMode="auto">
                    <a:xfrm>
                      <a:off x="0" y="0"/>
                      <a:ext cx="3089910" cy="1802765"/>
                    </a:xfrm>
                    <a:prstGeom prst="rect">
                      <a:avLst/>
                    </a:prstGeom>
                  </pic:spPr>
                </pic:pic>
              </a:graphicData>
            </a:graphic>
          </wp:inline>
        </w:drawing>
      </w:r>
    </w:p>
    <w:p>
      <w:pPr>
        <w:pStyle w:val="Normal"/>
        <w:jc w:val="both"/>
        <w:rPr/>
      </w:pPr>
      <w:r>
        <w:rPr/>
        <w:t>With a glance, Systole featured a lot of outliers and seems to have invalid values since the x-axis covers a wide range which is out of the normal medical range. The mean of Systolic blood pressure can be seen to be slightly higher in CVD affected patients.</w:t>
      </w:r>
    </w:p>
    <w:p>
      <w:pPr>
        <w:pStyle w:val="Normal"/>
        <w:rPr/>
      </w:pPr>
      <w:r>
        <w:rPr/>
      </w:r>
    </w:p>
    <w:p>
      <w:pPr>
        <w:pStyle w:val="Heading3"/>
        <w:numPr>
          <w:ilvl w:val="2"/>
          <w:numId w:val="2"/>
        </w:numPr>
        <w:ind w:firstLine="288"/>
        <w:rPr/>
      </w:pPr>
      <w:r>
        <w:rPr/>
        <w:t>Diastole Density Plot</w:t>
      </w:r>
    </w:p>
    <w:p>
      <w:pPr>
        <w:pStyle w:val="Normal"/>
        <w:rPr/>
      </w:pPr>
      <w:r>
        <w:rPr/>
      </w:r>
    </w:p>
    <w:p>
      <w:pPr>
        <w:pStyle w:val="Normal"/>
        <w:rPr/>
      </w:pPr>
      <w:r>
        <w:rPr/>
        <w:drawing>
          <wp:inline distT="0" distB="0" distL="0" distR="0">
            <wp:extent cx="3089910" cy="180276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1"/>
                    <a:stretch>
                      <a:fillRect/>
                    </a:stretch>
                  </pic:blipFill>
                  <pic:spPr bwMode="auto">
                    <a:xfrm>
                      <a:off x="0" y="0"/>
                      <a:ext cx="3089910" cy="1802765"/>
                    </a:xfrm>
                    <a:prstGeom prst="rect">
                      <a:avLst/>
                    </a:prstGeom>
                  </pic:spPr>
                </pic:pic>
              </a:graphicData>
            </a:graphic>
          </wp:inline>
        </w:drawing>
      </w:r>
    </w:p>
    <w:p>
      <w:pPr>
        <w:pStyle w:val="Normal"/>
        <w:jc w:val="both"/>
        <w:rPr/>
      </w:pPr>
      <w:r>
        <w:rPr/>
        <w:t>Attribute Diastole has the same trend and characteristic found in Systole and should be taken care of.</w:t>
      </w:r>
    </w:p>
    <w:p>
      <w:pPr>
        <w:pStyle w:val="Normal"/>
        <w:jc w:val="both"/>
        <w:rPr/>
      </w:pPr>
      <w:r>
        <w:rPr/>
      </w:r>
    </w:p>
    <w:p>
      <w:pPr>
        <w:pStyle w:val="Heading2"/>
        <w:numPr>
          <w:ilvl w:val="1"/>
          <w:numId w:val="2"/>
        </w:numPr>
        <w:rPr/>
      </w:pPr>
      <w:r>
        <w:rPr/>
        <w:t>Bar Plot</w:t>
      </w:r>
    </w:p>
    <w:p>
      <w:pPr>
        <w:pStyle w:val="Heading3"/>
        <w:numPr>
          <w:ilvl w:val="2"/>
          <w:numId w:val="2"/>
        </w:numPr>
        <w:ind w:firstLine="288"/>
        <w:rPr/>
      </w:pPr>
      <w:r>
        <w:rPr/>
        <w:t>Alcohol Distribution</w:t>
      </w:r>
    </w:p>
    <w:p>
      <w:pPr>
        <w:pStyle w:val="Normal"/>
        <w:rPr/>
      </w:pPr>
      <w:r>
        <w:rPr/>
        <w:drawing>
          <wp:inline distT="0" distB="0" distL="0" distR="0">
            <wp:extent cx="3089910" cy="1802765"/>
            <wp:effectExtent l="0" t="0" r="0" b="0"/>
            <wp:docPr id="1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 descr=""/>
                    <pic:cNvPicPr>
                      <a:picLocks noChangeAspect="1" noChangeArrowheads="1"/>
                    </pic:cNvPicPr>
                  </pic:nvPicPr>
                  <pic:blipFill>
                    <a:blip r:embed="rId12"/>
                    <a:stretch>
                      <a:fillRect/>
                    </a:stretch>
                  </pic:blipFill>
                  <pic:spPr bwMode="auto">
                    <a:xfrm>
                      <a:off x="0" y="0"/>
                      <a:ext cx="3089910" cy="1802765"/>
                    </a:xfrm>
                    <a:prstGeom prst="rect">
                      <a:avLst/>
                    </a:prstGeom>
                  </pic:spPr>
                </pic:pic>
              </a:graphicData>
            </a:graphic>
          </wp:inline>
        </w:drawing>
      </w:r>
    </w:p>
    <w:p>
      <w:pPr>
        <w:pStyle w:val="Normal"/>
        <w:jc w:val="both"/>
        <w:rPr/>
      </w:pPr>
      <w:r>
        <w:rPr/>
        <w:t>The proportion of having cardiovascular diseases is not seen to be positively correlated to alcoholism as both groups have the proportion of negatives higher, but the contract is not pronounced.</w:t>
      </w:r>
    </w:p>
    <w:p>
      <w:pPr>
        <w:pStyle w:val="Normal"/>
        <w:rPr/>
      </w:pPr>
      <w:r>
        <w:rPr/>
      </w:r>
    </w:p>
    <w:p>
      <w:pPr>
        <w:pStyle w:val="Normal"/>
        <w:rPr/>
      </w:pPr>
      <w:r>
        <w:rPr/>
      </w:r>
    </w:p>
    <w:p>
      <w:pPr>
        <w:pStyle w:val="Heading3"/>
        <w:numPr>
          <w:ilvl w:val="2"/>
          <w:numId w:val="2"/>
        </w:numPr>
        <w:ind w:firstLine="288"/>
        <w:rPr/>
      </w:pPr>
      <w:r>
        <w:rPr/>
        <w:t>Smoking Distribution</w:t>
      </w:r>
    </w:p>
    <w:p>
      <w:pPr>
        <w:pStyle w:val="Normal"/>
        <w:rPr/>
      </w:pPr>
      <w:r>
        <w:rPr/>
      </w:r>
    </w:p>
    <w:p>
      <w:pPr>
        <w:pStyle w:val="Normal"/>
        <w:rPr/>
      </w:pPr>
      <w:r>
        <w:rPr/>
        <w:drawing>
          <wp:inline distT="0" distB="0" distL="0" distR="0">
            <wp:extent cx="3089910" cy="180276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13"/>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jc w:val="both"/>
        <w:rPr/>
      </w:pPr>
      <w:r>
        <w:rPr/>
        <w:t xml:space="preserve">Like Alcohol Distribution, it seems hard to put smoking as a powerful indicator due to same non-obvious distribution. </w:t>
      </w:r>
    </w:p>
    <w:p>
      <w:pPr>
        <w:pStyle w:val="Heading3"/>
        <w:numPr>
          <w:ilvl w:val="2"/>
          <w:numId w:val="2"/>
        </w:numPr>
        <w:ind w:firstLine="288"/>
        <w:rPr/>
      </w:pPr>
      <w:r>
        <w:rPr/>
        <w:t>Physical Activeness Distribution</w:t>
      </w:r>
    </w:p>
    <w:p>
      <w:pPr>
        <w:pStyle w:val="Normal"/>
        <w:rPr/>
      </w:pPr>
      <w:r>
        <w:rPr/>
      </w:r>
    </w:p>
    <w:p>
      <w:pPr>
        <w:pStyle w:val="Normal"/>
        <w:rPr/>
      </w:pPr>
      <w:r>
        <w:rPr/>
        <w:drawing>
          <wp:inline distT="0" distB="0" distL="0" distR="0">
            <wp:extent cx="3089910" cy="1802765"/>
            <wp:effectExtent l="0" t="0" r="0" b="0"/>
            <wp:docPr id="1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descr=""/>
                    <pic:cNvPicPr>
                      <a:picLocks noChangeAspect="1" noChangeArrowheads="1"/>
                    </pic:cNvPicPr>
                  </pic:nvPicPr>
                  <pic:blipFill>
                    <a:blip r:embed="rId14"/>
                    <a:stretch>
                      <a:fillRect/>
                    </a:stretch>
                  </pic:blipFill>
                  <pic:spPr bwMode="auto">
                    <a:xfrm>
                      <a:off x="0" y="0"/>
                      <a:ext cx="3089910" cy="1802765"/>
                    </a:xfrm>
                    <a:prstGeom prst="rect">
                      <a:avLst/>
                    </a:prstGeom>
                  </pic:spPr>
                </pic:pic>
              </a:graphicData>
            </a:graphic>
          </wp:inline>
        </w:drawing>
      </w:r>
    </w:p>
    <w:p>
      <w:pPr>
        <w:pStyle w:val="Normal"/>
        <w:jc w:val="both"/>
        <w:rPr/>
      </w:pPr>
      <w:r>
        <w:rPr/>
        <w:t>There is a trend that people who are not active in physical activity are more prone to have cardiovascular diseases.</w:t>
      </w:r>
    </w:p>
    <w:p>
      <w:pPr>
        <w:pStyle w:val="Normal"/>
        <w:rPr/>
      </w:pPr>
      <w:r>
        <w:rPr/>
      </w:r>
    </w:p>
    <w:p>
      <w:pPr>
        <w:pStyle w:val="Heading3"/>
        <w:numPr>
          <w:ilvl w:val="2"/>
          <w:numId w:val="2"/>
        </w:numPr>
        <w:ind w:firstLine="288"/>
        <w:rPr/>
      </w:pPr>
      <w:r>
        <w:rPr/>
        <w:t>Gender Distribution</w:t>
      </w:r>
    </w:p>
    <w:p>
      <w:pPr>
        <w:pStyle w:val="Normal"/>
        <w:rPr/>
      </w:pPr>
      <w:r>
        <w:rPr/>
      </w:r>
    </w:p>
    <w:p>
      <w:pPr>
        <w:pStyle w:val="Normal"/>
        <w:rPr/>
      </w:pPr>
      <w:r>
        <w:rPr/>
        <w:drawing>
          <wp:inline distT="0" distB="0" distL="0" distR="0">
            <wp:extent cx="3089910" cy="1802765"/>
            <wp:effectExtent l="0" t="0" r="0" b="0"/>
            <wp:docPr id="1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descr=""/>
                    <pic:cNvPicPr>
                      <a:picLocks noChangeAspect="1" noChangeArrowheads="1"/>
                    </pic:cNvPicPr>
                  </pic:nvPicPr>
                  <pic:blipFill>
                    <a:blip r:embed="rId15"/>
                    <a:stretch>
                      <a:fillRect/>
                    </a:stretch>
                  </pic:blipFill>
                  <pic:spPr bwMode="auto">
                    <a:xfrm>
                      <a:off x="0" y="0"/>
                      <a:ext cx="3089910" cy="1802765"/>
                    </a:xfrm>
                    <a:prstGeom prst="rect">
                      <a:avLst/>
                    </a:prstGeom>
                  </pic:spPr>
                </pic:pic>
              </a:graphicData>
            </a:graphic>
          </wp:inline>
        </w:drawing>
      </w:r>
    </w:p>
    <w:p>
      <w:pPr>
        <w:pStyle w:val="Normal"/>
        <w:jc w:val="both"/>
        <w:rPr/>
      </w:pPr>
      <w:r>
        <w:rPr/>
        <w:t>CVD were slightly more prevalent in male patients than their counterpart.</w:t>
      </w:r>
    </w:p>
    <w:p>
      <w:pPr>
        <w:pStyle w:val="Normal"/>
        <w:rPr/>
      </w:pPr>
      <w:r>
        <w:rPr/>
      </w:r>
    </w:p>
    <w:p>
      <w:pPr>
        <w:pStyle w:val="Heading3"/>
        <w:numPr>
          <w:ilvl w:val="2"/>
          <w:numId w:val="2"/>
        </w:numPr>
        <w:ind w:firstLine="288"/>
        <w:rPr/>
      </w:pPr>
      <w:r>
        <w:rPr/>
        <w:t>Cholesterol Distribution</w:t>
      </w:r>
    </w:p>
    <w:p>
      <w:pPr>
        <w:pStyle w:val="Normal"/>
        <w:rPr/>
      </w:pPr>
      <w:r>
        <w:rPr/>
        <w:drawing>
          <wp:inline distT="0" distB="0" distL="0" distR="0">
            <wp:extent cx="3089910" cy="1802765"/>
            <wp:effectExtent l="0" t="0" r="0" b="0"/>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6"/>
                    <a:stretch>
                      <a:fillRect/>
                    </a:stretch>
                  </pic:blipFill>
                  <pic:spPr bwMode="auto">
                    <a:xfrm>
                      <a:off x="0" y="0"/>
                      <a:ext cx="3089910" cy="1802765"/>
                    </a:xfrm>
                    <a:prstGeom prst="rect">
                      <a:avLst/>
                    </a:prstGeom>
                  </pic:spPr>
                </pic:pic>
              </a:graphicData>
            </a:graphic>
          </wp:inline>
        </w:drawing>
      </w:r>
    </w:p>
    <w:p>
      <w:pPr>
        <w:pStyle w:val="Normal"/>
        <w:jc w:val="both"/>
        <w:rPr/>
      </w:pPr>
      <w:r>
        <w:rPr/>
        <w:t>Cholesterol is seen as an obvious attribute and the well above normal category level is positively correlated to cardiovascular diseases.</w:t>
      </w:r>
    </w:p>
    <w:p>
      <w:pPr>
        <w:pStyle w:val="Normal"/>
        <w:rPr/>
      </w:pPr>
      <w:r>
        <w:rPr/>
      </w:r>
    </w:p>
    <w:p>
      <w:pPr>
        <w:pStyle w:val="Heading3"/>
        <w:numPr>
          <w:ilvl w:val="2"/>
          <w:numId w:val="2"/>
        </w:numPr>
        <w:ind w:firstLine="288"/>
        <w:rPr/>
      </w:pPr>
      <w:r>
        <w:rPr/>
        <w:t>Glucose Distribution</w:t>
      </w:r>
    </w:p>
    <w:p>
      <w:pPr>
        <w:pStyle w:val="Normal"/>
        <w:rPr/>
      </w:pPr>
      <w:r>
        <w:rPr/>
      </w:r>
    </w:p>
    <w:p>
      <w:pPr>
        <w:pStyle w:val="Normal"/>
        <w:rPr/>
      </w:pPr>
      <w:r>
        <w:rPr/>
        <w:drawing>
          <wp:inline distT="0" distB="0" distL="0" distR="0">
            <wp:extent cx="3089910" cy="1802765"/>
            <wp:effectExtent l="0" t="0" r="0" b="0"/>
            <wp:docPr id="1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descr=""/>
                    <pic:cNvPicPr>
                      <a:picLocks noChangeAspect="1" noChangeArrowheads="1"/>
                    </pic:cNvPicPr>
                  </pic:nvPicPr>
                  <pic:blipFill>
                    <a:blip r:embed="rId17"/>
                    <a:stretch>
                      <a:fillRect/>
                    </a:stretch>
                  </pic:blipFill>
                  <pic:spPr bwMode="auto">
                    <a:xfrm>
                      <a:off x="0" y="0"/>
                      <a:ext cx="3089910" cy="1802765"/>
                    </a:xfrm>
                    <a:prstGeom prst="rect">
                      <a:avLst/>
                    </a:prstGeom>
                  </pic:spPr>
                </pic:pic>
              </a:graphicData>
            </a:graphic>
          </wp:inline>
        </w:drawing>
      </w:r>
    </w:p>
    <w:p>
      <w:pPr>
        <w:pStyle w:val="Normal"/>
        <w:jc w:val="both"/>
        <w:rPr/>
      </w:pPr>
      <w:r>
        <w:rPr/>
        <w:t>Glucose is seen as an obvious attribute as well where levels above normal has larger among of patients having cardiovascular diseases.</w:t>
      </w:r>
    </w:p>
    <w:p>
      <w:pPr>
        <w:pStyle w:val="Normal"/>
        <w:rPr/>
      </w:pPr>
      <w:r>
        <w:rPr/>
      </w:r>
    </w:p>
    <w:p>
      <w:pPr>
        <w:pStyle w:val="Heading3"/>
        <w:numPr>
          <w:ilvl w:val="2"/>
          <w:numId w:val="2"/>
        </w:numPr>
        <w:ind w:firstLine="288"/>
        <w:rPr/>
      </w:pPr>
      <w:r>
        <w:rPr/>
        <w:t>Blood Pressure Distribution</w:t>
      </w:r>
    </w:p>
    <w:p>
      <w:pPr>
        <w:pStyle w:val="Normal"/>
        <w:rPr/>
      </w:pPr>
      <w:r>
        <w:rPr/>
      </w:r>
    </w:p>
    <w:p>
      <w:pPr>
        <w:pStyle w:val="Normal"/>
        <w:rPr/>
      </w:pPr>
      <w:r>
        <w:rPr/>
        <w:drawing>
          <wp:inline distT="0" distB="0" distL="0" distR="0">
            <wp:extent cx="3089910" cy="1802765"/>
            <wp:effectExtent l="0" t="0" r="0" b="0"/>
            <wp:docPr id="1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1" descr=""/>
                    <pic:cNvPicPr>
                      <a:picLocks noChangeAspect="1" noChangeArrowheads="1"/>
                    </pic:cNvPicPr>
                  </pic:nvPicPr>
                  <pic:blipFill>
                    <a:blip r:embed="rId18"/>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jc w:val="both"/>
        <w:rPr/>
      </w:pPr>
      <w:r>
        <w:rPr/>
        <w:t xml:space="preserve">The target is strongly correlated with Blood Pressure as those have lower-than-normal value have very low percentage being positive and higher-than-normal instances showing patients having a very high rate for having CVD. </w:t>
      </w:r>
    </w:p>
    <w:p>
      <w:pPr>
        <w:pStyle w:val="Normal"/>
        <w:rPr/>
      </w:pPr>
      <w:r>
        <w:rPr/>
      </w:r>
    </w:p>
    <w:p>
      <w:pPr>
        <w:pStyle w:val="Heading1"/>
        <w:numPr>
          <w:ilvl w:val="0"/>
          <w:numId w:val="2"/>
        </w:numPr>
        <w:ind w:hanging="0"/>
        <w:rPr/>
      </w:pPr>
      <w:r>
        <w:rPr/>
        <w:t>Data preparation</w:t>
      </w:r>
    </w:p>
    <w:p>
      <w:pPr>
        <w:pStyle w:val="Heading2"/>
        <w:numPr>
          <w:ilvl w:val="1"/>
          <w:numId w:val="2"/>
        </w:numPr>
        <w:rPr/>
      </w:pPr>
      <w:r>
        <w:rPr/>
        <w:t>Handling missing or null data points</w:t>
      </w:r>
    </w:p>
    <w:p>
      <w:pPr>
        <w:pStyle w:val="TextBody"/>
        <w:rPr/>
      </w:pPr>
      <w:r>
        <w:rPr/>
        <w:t>There are no missing values in the data, hence further data processing for this is not required.</w:t>
      </w:r>
    </w:p>
    <w:p>
      <w:pPr>
        <w:pStyle w:val="Heading2"/>
        <w:numPr>
          <w:ilvl w:val="1"/>
          <w:numId w:val="2"/>
        </w:numPr>
        <w:rPr/>
      </w:pPr>
      <w:r>
        <w:rPr/>
        <w:t>Outliers</w:t>
      </w:r>
    </w:p>
    <w:p>
      <w:pPr>
        <w:pStyle w:val="Normal"/>
        <w:jc w:val="both"/>
        <w:rPr>
          <w:bCs/>
        </w:rPr>
      </w:pPr>
      <w:r>
        <w:rPr>
          <w:bCs/>
          <w:szCs w:val="16"/>
        </w:rPr>
        <w:t xml:space="preserve">As seen in Figure xx (summary), there are outliers in some attribute such as Systole (ap_hi) and Diastole (ap_lo) that are negative in values which is impossible, weight attribute which has a minimum weight of 10kg and maximum value of 200kg and height attribute with a maximum of 250cm and minimum of 55cm which does not fit in the normal range. The outliers are handled by only retaining in 5 times of the Inter Quartile Range (IQR), since 1.5 times IQR removes too many observations that we deem to be useful. </w:t>
      </w:r>
      <w:r>
        <w:rPr>
          <w:bCs/>
        </w:rPr>
        <w:t>With Figure xx as comparison, the attributes which has outliers like Height, Weight, Systole and Diastole looks way better after the outliers are handled which can be seen in the Figure below:</w:t>
      </w:r>
    </w:p>
    <w:p>
      <w:pPr>
        <w:pStyle w:val="Normal"/>
        <w:jc w:val="both"/>
        <w:rPr>
          <w:bCs/>
        </w:rPr>
      </w:pPr>
      <w:r>
        <w:rPr>
          <w:bCs/>
        </w:rPr>
      </w:r>
    </w:p>
    <w:p>
      <w:pPr>
        <w:pStyle w:val="Normal"/>
        <w:rPr/>
      </w:pPr>
      <w:r>
        <w:rPr/>
        <w:drawing>
          <wp:inline distT="0" distB="0" distL="0" distR="0">
            <wp:extent cx="3089910" cy="73469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9"/>
                    <a:stretch>
                      <a:fillRect/>
                    </a:stretch>
                  </pic:blipFill>
                  <pic:spPr bwMode="auto">
                    <a:xfrm>
                      <a:off x="0" y="0"/>
                      <a:ext cx="3089910" cy="734695"/>
                    </a:xfrm>
                    <a:prstGeom prst="rect">
                      <a:avLst/>
                    </a:prstGeom>
                  </pic:spPr>
                </pic:pic>
              </a:graphicData>
            </a:graphic>
          </wp:inline>
        </w:drawing>
      </w:r>
    </w:p>
    <w:p>
      <w:pPr>
        <w:pStyle w:val="Normal"/>
        <w:rPr/>
      </w:pPr>
      <w:r>
        <w:rPr/>
        <w:drawing>
          <wp:inline distT="0" distB="0" distL="0" distR="0">
            <wp:extent cx="3089910" cy="563880"/>
            <wp:effectExtent l="0" t="0" r="0" b="0"/>
            <wp:docPr id="1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pic:cNvPicPr>
                      <a:picLocks noChangeAspect="1" noChangeArrowheads="1"/>
                    </pic:cNvPicPr>
                  </pic:nvPicPr>
                  <pic:blipFill>
                    <a:blip r:embed="rId20"/>
                    <a:stretch>
                      <a:fillRect/>
                    </a:stretch>
                  </pic:blipFill>
                  <pic:spPr bwMode="auto">
                    <a:xfrm>
                      <a:off x="0" y="0"/>
                      <a:ext cx="3089910" cy="563880"/>
                    </a:xfrm>
                    <a:prstGeom prst="rect">
                      <a:avLst/>
                    </a:prstGeom>
                  </pic:spPr>
                </pic:pic>
              </a:graphicData>
            </a:graphic>
          </wp:inline>
        </w:drawing>
      </w:r>
    </w:p>
    <w:p>
      <w:pPr>
        <w:pStyle w:val="Normal"/>
        <w:rPr/>
      </w:pPr>
      <w:r>
        <w:rPr/>
        <w:drawing>
          <wp:inline distT="0" distB="0" distL="0" distR="0">
            <wp:extent cx="3089910" cy="340995"/>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21"/>
                    <a:stretch>
                      <a:fillRect/>
                    </a:stretch>
                  </pic:blipFill>
                  <pic:spPr bwMode="auto">
                    <a:xfrm>
                      <a:off x="0" y="0"/>
                      <a:ext cx="3089910" cy="340995"/>
                    </a:xfrm>
                    <a:prstGeom prst="rect">
                      <a:avLst/>
                    </a:prstGeom>
                  </pic:spPr>
                </pic:pic>
              </a:graphicData>
            </a:graphic>
          </wp:inline>
        </w:drawing>
      </w:r>
    </w:p>
    <w:p>
      <w:pPr>
        <w:pStyle w:val="Normal"/>
        <w:rPr/>
      </w:pPr>
      <w:r>
        <w:rPr/>
        <w:drawing>
          <wp:inline distT="0" distB="0" distL="0" distR="0">
            <wp:extent cx="1555750" cy="692150"/>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22"/>
                    <a:stretch>
                      <a:fillRect/>
                    </a:stretch>
                  </pic:blipFill>
                  <pic:spPr bwMode="auto">
                    <a:xfrm>
                      <a:off x="0" y="0"/>
                      <a:ext cx="1555750" cy="692150"/>
                    </a:xfrm>
                    <a:prstGeom prst="rect">
                      <a:avLst/>
                    </a:prstGeom>
                  </pic:spPr>
                </pic:pic>
              </a:graphicData>
            </a:graphic>
          </wp:inline>
        </w:drawing>
      </w:r>
    </w:p>
    <w:p>
      <w:pPr>
        <w:pStyle w:val="Normal"/>
        <w:rPr/>
      </w:pPr>
      <w:r>
        <w:rPr/>
      </w:r>
    </w:p>
    <w:p>
      <w:pPr>
        <w:pStyle w:val="TextBody"/>
        <w:rPr>
          <w:bCs/>
          <w:szCs w:val="16"/>
        </w:rPr>
      </w:pPr>
      <w:r>
        <w:rPr>
          <w:bCs/>
          <w:szCs w:val="16"/>
        </w:rPr>
      </w:r>
    </w:p>
    <w:p>
      <w:pPr>
        <w:pStyle w:val="Heading2"/>
        <w:numPr>
          <w:ilvl w:val="1"/>
          <w:numId w:val="2"/>
        </w:numPr>
        <w:rPr/>
      </w:pPr>
      <w:r>
        <w:rPr/>
        <w:t>Z-score normalization</w:t>
      </w:r>
    </w:p>
    <w:p>
      <w:pPr>
        <w:pStyle w:val="Normal"/>
        <w:jc w:val="both"/>
        <w:rPr>
          <w:rFonts w:eastAsia="Arial"/>
        </w:rPr>
      </w:pPr>
      <w:r>
        <w:rPr>
          <w:rFonts w:eastAsia="Arial"/>
        </w:rPr>
        <w:t xml:space="preserve">Z-score also known as zero-mean is the conversion of values to a common scale where the average is zero with a standard deviation of one. By computing, the value of A in this case, </w:t>
      </w:r>
      <w:r>
        <w:rPr/>
      </w:r>
      <m:oMath xmlns:m="http://schemas.openxmlformats.org/officeDocument/2006/math">
        <m:r>
          <w:rPr>
            <w:rFonts w:ascii="Cambria Math" w:hAnsi="Cambria Math"/>
          </w:rPr>
          <m:t xml:space="preserve">x</m:t>
        </m:r>
      </m:oMath>
      <w:r>
        <w:rPr>
          <w:rFonts w:eastAsia="Arial"/>
        </w:rPr>
        <w:t xml:space="preserve">, is normalized to z. Formula of z-score is shown below, where </w:t>
      </w:r>
      <w:r>
        <w:rPr/>
      </w:r>
      <m:oMath xmlns:m="http://schemas.openxmlformats.org/officeDocument/2006/math">
        <m:r>
          <w:rPr>
            <w:rFonts w:ascii="Cambria Math" w:hAnsi="Cambria Math"/>
          </w:rPr>
          <m:t xml:space="preserve">μ</m:t>
        </m:r>
      </m:oMath>
      <w:r>
        <w:rPr>
          <w:rFonts w:eastAsia="Arial"/>
        </w:rPr>
        <w:t xml:space="preserve"> and </w:t>
      </w:r>
      <w:r>
        <w:rPr/>
      </w:r>
      <m:oMath xmlns:m="http://schemas.openxmlformats.org/officeDocument/2006/math">
        <m:r>
          <w:rPr>
            <w:rFonts w:ascii="Cambria Math" w:hAnsi="Cambria Math"/>
          </w:rPr>
          <m:t xml:space="preserve">σ</m:t>
        </m:r>
      </m:oMath>
      <w:r>
        <w:rPr>
          <w:rFonts w:eastAsia="Arial"/>
        </w:rPr>
        <w:t xml:space="preserve"> are the mean and standard deviation of the attribute respectively:</w:t>
      </w:r>
    </w:p>
    <w:p>
      <w:pPr>
        <w:pStyle w:val="Normal"/>
        <w:jc w:val="both"/>
        <w:rPr/>
      </w:pP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σ</m:t>
            </m:r>
          </m:den>
        </m:f>
      </m:oMath>
    </w:p>
    <w:p>
      <w:pPr>
        <w:pStyle w:val="TextBody"/>
        <w:rPr>
          <w:bCs/>
          <w:szCs w:val="16"/>
        </w:rPr>
      </w:pPr>
      <w:r>
        <w:rPr>
          <w:bCs/>
          <w:szCs w:val="16"/>
        </w:rPr>
      </w:r>
    </w:p>
    <w:p>
      <w:pPr>
        <w:pStyle w:val="TextBody"/>
        <w:rPr>
          <w:bCs/>
          <w:szCs w:val="16"/>
        </w:rPr>
      </w:pPr>
      <w:r>
        <w:rPr>
          <w:bCs/>
          <w:szCs w:val="16"/>
        </w:rPr>
        <w:t>The difference between Negative count and Positive count in the Target class increased a little after the outlier removal process, but it is insignificant in impacting the modelling process.</w:t>
      </w:r>
    </w:p>
    <w:p>
      <w:pPr>
        <w:pStyle w:val="TextBody"/>
        <w:jc w:val="center"/>
        <w:rPr>
          <w:sz w:val="22"/>
        </w:rPr>
      </w:pPr>
      <w:r>
        <w:rPr/>
        <w:drawing>
          <wp:inline distT="0" distB="0" distL="0" distR="0">
            <wp:extent cx="2876550" cy="1678305"/>
            <wp:effectExtent l="0" t="0" r="0" b="0"/>
            <wp:docPr id="2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pic:cNvPicPr>
                      <a:picLocks noChangeAspect="1" noChangeArrowheads="1"/>
                    </pic:cNvPicPr>
                  </pic:nvPicPr>
                  <pic:blipFill>
                    <a:blip r:embed="rId23"/>
                    <a:stretch>
                      <a:fillRect/>
                    </a:stretch>
                  </pic:blipFill>
                  <pic:spPr bwMode="auto">
                    <a:xfrm>
                      <a:off x="0" y="0"/>
                      <a:ext cx="2876550" cy="1678305"/>
                    </a:xfrm>
                    <a:prstGeom prst="rect">
                      <a:avLst/>
                    </a:prstGeom>
                  </pic:spPr>
                </pic:pic>
              </a:graphicData>
            </a:graphic>
          </wp:inline>
        </w:drawing>
      </w:r>
    </w:p>
    <w:p>
      <w:pPr>
        <w:pStyle w:val="TextBody"/>
        <w:jc w:val="center"/>
        <w:rPr>
          <w:sz w:val="22"/>
        </w:rPr>
      </w:pPr>
      <w:r>
        <w:rPr>
          <w:sz w:val="22"/>
        </w:rPr>
      </w:r>
    </w:p>
    <w:p>
      <w:pPr>
        <w:pStyle w:val="Heading1"/>
        <w:numPr>
          <w:ilvl w:val="0"/>
          <w:numId w:val="2"/>
        </w:numPr>
        <w:ind w:hanging="0"/>
        <w:rPr/>
      </w:pPr>
      <w:r>
        <w:rPr/>
        <w:t>feature selection</w:t>
      </w:r>
    </w:p>
    <w:p>
      <w:pPr>
        <w:pStyle w:val="TextBody"/>
        <w:rPr/>
      </w:pPr>
      <w:r>
        <w:rPr/>
        <w:t>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pPr>
        <w:pStyle w:val="TextBody"/>
        <w:rPr/>
      </w:pPr>
      <w:r>
        <w:rP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pPr>
        <w:pStyle w:val="TextBody"/>
        <w:rPr/>
      </w:pPr>
      <w:r>
        <w:rP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pPr>
        <w:pStyle w:val="Normal"/>
        <w:rPr>
          <w:lang w:val="x-none"/>
        </w:rPr>
      </w:pPr>
      <w:r>
        <w:rPr>
          <w:lang w:val="x-none"/>
        </w:rPr>
      </w:r>
    </w:p>
    <w:p>
      <w:pPr>
        <w:pStyle w:val="Heading2"/>
        <w:numPr>
          <w:ilvl w:val="1"/>
          <w:numId w:val="2"/>
        </w:numPr>
        <w:rPr/>
      </w:pPr>
      <w:r>
        <w:rPr/>
        <w:t>Box plot</w:t>
      </w:r>
    </w:p>
    <w:p>
      <w:pPr>
        <w:pStyle w:val="Normal"/>
        <w:rPr/>
      </w:pPr>
      <w:r>
        <w:rPr/>
      </w:r>
    </w:p>
    <w:p>
      <w:pPr>
        <w:pStyle w:val="Normal"/>
        <w:rPr/>
      </w:pPr>
      <w:r>
        <w:rPr/>
        <w:drawing>
          <wp:inline distT="0" distB="0" distL="0" distR="0">
            <wp:extent cx="3089910" cy="1802765"/>
            <wp:effectExtent l="0" t="0" r="0" b="0"/>
            <wp:docPr id="2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2" descr=""/>
                    <pic:cNvPicPr>
                      <a:picLocks noChangeAspect="1" noChangeArrowheads="1"/>
                    </pic:cNvPicPr>
                  </pic:nvPicPr>
                  <pic:blipFill>
                    <a:blip r:embed="rId24"/>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3089910" cy="1802765"/>
            <wp:effectExtent l="0" t="0" r="0" b="0"/>
            <wp:docPr id="2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3" descr=""/>
                    <pic:cNvPicPr>
                      <a:picLocks noChangeAspect="1" noChangeArrowheads="1"/>
                    </pic:cNvPicPr>
                  </pic:nvPicPr>
                  <pic:blipFill>
                    <a:blip r:embed="rId25"/>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3089910" cy="1802765"/>
            <wp:effectExtent l="0" t="0" r="0" b="0"/>
            <wp:docPr id="2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4" descr=""/>
                    <pic:cNvPicPr>
                      <a:picLocks noChangeAspect="1" noChangeArrowheads="1"/>
                    </pic:cNvPicPr>
                  </pic:nvPicPr>
                  <pic:blipFill>
                    <a:blip r:embed="rId26"/>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3089910" cy="1802765"/>
            <wp:effectExtent l="0" t="0" r="0" b="0"/>
            <wp:docPr id="2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5" descr=""/>
                    <pic:cNvPicPr>
                      <a:picLocks noChangeAspect="1" noChangeArrowheads="1"/>
                    </pic:cNvPicPr>
                  </pic:nvPicPr>
                  <pic:blipFill>
                    <a:blip r:embed="rId27"/>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3089910" cy="1802765"/>
            <wp:effectExtent l="0" t="0" r="0" b="0"/>
            <wp:docPr id="2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6" descr=""/>
                    <pic:cNvPicPr>
                      <a:picLocks noChangeAspect="1" noChangeArrowheads="1"/>
                    </pic:cNvPicPr>
                  </pic:nvPicPr>
                  <pic:blipFill>
                    <a:blip r:embed="rId28"/>
                    <a:stretch>
                      <a:fillRect/>
                    </a:stretch>
                  </pic:blipFill>
                  <pic:spPr bwMode="auto">
                    <a:xfrm>
                      <a:off x="0" y="0"/>
                      <a:ext cx="3089910" cy="180276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3089910" cy="1802765"/>
            <wp:effectExtent l="0" t="0" r="0" b="0"/>
            <wp:docPr id="2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7" descr=""/>
                    <pic:cNvPicPr>
                      <a:picLocks noChangeAspect="1" noChangeArrowheads="1"/>
                    </pic:cNvPicPr>
                  </pic:nvPicPr>
                  <pic:blipFill>
                    <a:blip r:embed="rId29"/>
                    <a:stretch>
                      <a:fillRect/>
                    </a:stretch>
                  </pic:blipFill>
                  <pic:spPr bwMode="auto">
                    <a:xfrm>
                      <a:off x="0" y="0"/>
                      <a:ext cx="3089910" cy="1802765"/>
                    </a:xfrm>
                    <a:prstGeom prst="rect">
                      <a:avLst/>
                    </a:prstGeom>
                  </pic:spPr>
                </pic:pic>
              </a:graphicData>
            </a:graphic>
          </wp:inline>
        </w:drawing>
      </w:r>
    </w:p>
    <w:p>
      <w:pPr>
        <w:pStyle w:val="Normal"/>
        <w:rPr/>
      </w:pPr>
      <w:r>
        <w:rPr/>
      </w:r>
    </w:p>
    <w:p>
      <w:pPr>
        <w:pStyle w:val="Heading2"/>
        <w:numPr>
          <w:ilvl w:val="1"/>
          <w:numId w:val="2"/>
        </w:numPr>
        <w:rPr/>
      </w:pPr>
      <w:r>
        <w:rPr/>
        <w:t>Checking Near Zero Variance Attributes</w:t>
      </w:r>
    </w:p>
    <w:p>
      <w:pPr>
        <w:pStyle w:val="Normal"/>
        <w:jc w:val="both"/>
        <w:rPr/>
      </w:pPr>
      <w:r>
        <w:rPr/>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pPr>
        <w:pStyle w:val="Normal"/>
        <w:jc w:val="both"/>
        <w:rPr/>
      </w:pPr>
      <w:r>
        <w:rPr/>
      </w:r>
    </w:p>
    <w:p>
      <w:pPr>
        <w:pStyle w:val="Heading2"/>
        <w:numPr>
          <w:ilvl w:val="1"/>
          <w:numId w:val="2"/>
        </w:numPr>
        <w:rPr/>
      </w:pPr>
      <w:r>
        <w:rPr/>
        <w:t>Correlation matrix</w:t>
      </w:r>
    </w:p>
    <w:p>
      <w:pPr>
        <w:pStyle w:val="Normal"/>
        <w:jc w:val="both"/>
        <w:rPr/>
      </w:pPr>
      <w:r>
        <w:rPr/>
        <w:t>Some models might show improved performance if the level of correlation between the predictors is reduced. Only BMI was found to have a strong correlation with Weight, which is obvious.</w:t>
      </w:r>
    </w:p>
    <w:p>
      <w:pPr>
        <w:pStyle w:val="Normal"/>
        <w:rPr/>
      </w:pPr>
      <w:r>
        <w:rPr/>
        <w:drawing>
          <wp:inline distT="0" distB="0" distL="0" distR="0">
            <wp:extent cx="3089910" cy="640715"/>
            <wp:effectExtent l="0" t="0" r="0" b="0"/>
            <wp:docPr id="2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8" descr=""/>
                    <pic:cNvPicPr>
                      <a:picLocks noChangeAspect="1" noChangeArrowheads="1"/>
                    </pic:cNvPicPr>
                  </pic:nvPicPr>
                  <pic:blipFill>
                    <a:blip r:embed="rId30"/>
                    <a:stretch>
                      <a:fillRect/>
                    </a:stretch>
                  </pic:blipFill>
                  <pic:spPr bwMode="auto">
                    <a:xfrm>
                      <a:off x="0" y="0"/>
                      <a:ext cx="3089910" cy="640715"/>
                    </a:xfrm>
                    <a:prstGeom prst="rect">
                      <a:avLst/>
                    </a:prstGeom>
                  </pic:spPr>
                </pic:pic>
              </a:graphicData>
            </a:graphic>
          </wp:inline>
        </w:drawing>
      </w:r>
    </w:p>
    <w:p>
      <w:pPr>
        <w:pStyle w:val="TextBody"/>
        <w:rPr/>
      </w:pPr>
      <w:r>
        <w:rPr/>
      </w:r>
    </w:p>
    <w:p>
      <w:pPr>
        <w:pStyle w:val="Heading2"/>
        <w:numPr>
          <w:ilvl w:val="1"/>
          <w:numId w:val="2"/>
        </w:numPr>
        <w:rPr/>
      </w:pPr>
      <w:r>
        <w:rPr/>
        <w:t>Checking Linearly Dependent Features</w:t>
      </w:r>
    </w:p>
    <w:p>
      <w:pPr>
        <w:pStyle w:val="Normal"/>
        <w:jc w:val="both"/>
        <w:rPr/>
      </w:pPr>
      <w:r>
        <w:rPr/>
        <w:t>No features were found to be linearly dependent among each other.</w:t>
      </w:r>
    </w:p>
    <w:p>
      <w:pPr>
        <w:pStyle w:val="Heading2"/>
        <w:numPr>
          <w:ilvl w:val="1"/>
          <w:numId w:val="2"/>
        </w:numPr>
        <w:rPr/>
      </w:pPr>
      <w:r>
        <w:rPr/>
        <w:t>Recursive feature selection</w:t>
      </w:r>
    </w:p>
    <w:p>
      <w:pPr>
        <w:pStyle w:val="Normal"/>
        <w:rPr>
          <w:sz w:val="18"/>
          <w:szCs w:val="18"/>
        </w:rPr>
      </w:pPr>
      <w:r>
        <w:rPr>
          <w:sz w:val="18"/>
          <w:szCs w:val="18"/>
        </w:rPr>
      </w:r>
    </w:p>
    <w:p>
      <w:pPr>
        <w:pStyle w:val="Normal"/>
        <w:jc w:val="both"/>
        <w:rPr>
          <w:rFonts w:eastAsia="Times New Roman"/>
          <w:lang w:eastAsia="zh-CN"/>
        </w:rPr>
      </w:pPr>
      <w:r>
        <w:rPr/>
        <w:t>Recursive feature selection using Naïve Bayes where</w:t>
      </w:r>
      <w:r>
        <w:rPr>
          <w:rFonts w:eastAsia="Times New Roman"/>
          <w:lang w:eastAsia="zh-CN"/>
        </w:rPr>
        <w:t xml:space="preserve"> 15% of the dataset was used and resampling over the data is performed by using 5 folds cross-validation method. The result we obtained are as below:</w:t>
      </w:r>
    </w:p>
    <w:p>
      <w:pPr>
        <w:pStyle w:val="Normal"/>
        <w:jc w:val="both"/>
        <w:rPr/>
      </w:pPr>
      <w:r>
        <w:rPr/>
      </w:r>
    </w:p>
    <w:tbl>
      <w:tblPr>
        <w:tblStyle w:val="TableGrid"/>
        <w:tblW w:w="3595" w:type="dxa"/>
        <w:jc w:val="center"/>
        <w:tblInd w:w="0" w:type="dxa"/>
        <w:tblCellMar>
          <w:top w:w="0" w:type="dxa"/>
          <w:left w:w="108" w:type="dxa"/>
          <w:bottom w:w="0" w:type="dxa"/>
          <w:right w:w="108" w:type="dxa"/>
        </w:tblCellMar>
        <w:tblLook w:noVBand="1" w:noHBand="0" w:firstColumn="1" w:lastRow="0" w:lastColumn="0" w:firstRow="1"/>
      </w:tblPr>
      <w:tblGrid>
        <w:gridCol w:w="984"/>
        <w:gridCol w:w="2610"/>
      </w:tblGrid>
      <w:tr>
        <w:trPr/>
        <w:tc>
          <w:tcPr>
            <w:tcW w:w="984" w:type="dxa"/>
            <w:tcBorders/>
            <w:shd w:fill="auto" w:val="clear"/>
          </w:tcPr>
          <w:p>
            <w:pPr>
              <w:pStyle w:val="Normal"/>
              <w:rPr>
                <w:b/>
                <w:b/>
                <w:sz w:val="16"/>
                <w:szCs w:val="16"/>
              </w:rPr>
            </w:pPr>
            <w:r>
              <w:rPr>
                <w:rFonts w:eastAsia="Calibri" w:cs="" w:ascii="Calibri" w:hAnsi="Calibri" w:cstheme="minorBidi" w:eastAsiaTheme="minorHAnsi"/>
                <w:b/>
                <w:sz w:val="16"/>
                <w:szCs w:val="16"/>
                <w:lang w:val="en-MY"/>
              </w:rPr>
              <w:t>Rank by importance</w:t>
            </w:r>
          </w:p>
        </w:tc>
        <w:tc>
          <w:tcPr>
            <w:tcW w:w="2610" w:type="dxa"/>
            <w:tcBorders/>
            <w:shd w:fill="auto" w:val="clear"/>
          </w:tcPr>
          <w:p>
            <w:pPr>
              <w:pStyle w:val="Normal"/>
              <w:rPr>
                <w:b/>
                <w:b/>
                <w:sz w:val="16"/>
                <w:szCs w:val="16"/>
              </w:rPr>
            </w:pPr>
            <w:r>
              <w:rPr>
                <w:rFonts w:eastAsia="Calibri" w:cs="" w:ascii="Calibri" w:hAnsi="Calibri" w:cstheme="minorBidi" w:eastAsiaTheme="minorHAnsi"/>
                <w:b/>
                <w:sz w:val="16"/>
                <w:szCs w:val="16"/>
                <w:lang w:val="en-MY"/>
              </w:rPr>
              <w:t>Attribute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1</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Systole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2</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Diastole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3</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BloodPressure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4</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Age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5</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BMI</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6</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Weight</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7</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Cholesterol</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8</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Active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9</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Height</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10</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Smoking</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11</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Gender</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12</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Glucose</w:t>
            </w:r>
          </w:p>
        </w:tc>
      </w:tr>
      <w:tr>
        <w:trPr/>
        <w:tc>
          <w:tcPr>
            <w:tcW w:w="984" w:type="dxa"/>
            <w:tcBorders/>
            <w:shd w:fill="auto" w:val="clear"/>
          </w:tcPr>
          <w:p>
            <w:pPr>
              <w:pStyle w:val="Normal"/>
              <w:rPr>
                <w:sz w:val="16"/>
                <w:szCs w:val="16"/>
              </w:rPr>
            </w:pPr>
            <w:r>
              <w:rPr>
                <w:rFonts w:eastAsia="Calibri" w:cs="" w:ascii="Calibri" w:hAnsi="Calibri" w:cstheme="minorBidi" w:eastAsiaTheme="minorHAnsi"/>
                <w:sz w:val="16"/>
                <w:szCs w:val="16"/>
                <w:lang w:val="en-MY"/>
              </w:rPr>
              <w:t>13</w:t>
            </w:r>
          </w:p>
        </w:tc>
        <w:tc>
          <w:tcPr>
            <w:tcW w:w="2610" w:type="dxa"/>
            <w:tcBorders/>
            <w:shd w:fill="auto" w:val="clear"/>
          </w:tcPr>
          <w:p>
            <w:pPr>
              <w:pStyle w:val="Normal"/>
              <w:rPr>
                <w:sz w:val="16"/>
                <w:szCs w:val="16"/>
              </w:rPr>
            </w:pPr>
            <w:r>
              <w:rPr>
                <w:rFonts w:eastAsia="Calibri" w:cs="" w:ascii="Calibri" w:hAnsi="Calibri" w:cstheme="minorBidi" w:eastAsiaTheme="minorHAnsi"/>
                <w:sz w:val="16"/>
                <w:szCs w:val="16"/>
                <w:lang w:val="en-MY"/>
              </w:rPr>
              <w:t>Alcohol</w:t>
            </w:r>
          </w:p>
        </w:tc>
      </w:tr>
    </w:tbl>
    <w:p>
      <w:pPr>
        <w:pStyle w:val="Normal"/>
        <w:jc w:val="both"/>
        <w:rPr/>
      </w:pPr>
      <w:r>
        <w:rPr/>
      </w:r>
    </w:p>
    <w:p>
      <w:pPr>
        <w:pStyle w:val="Heading2"/>
        <w:numPr>
          <w:ilvl w:val="1"/>
          <w:numId w:val="2"/>
        </w:numPr>
        <w:rPr>
          <w:highlight w:val="yellow"/>
        </w:rPr>
      </w:pPr>
      <w:r>
        <w:rPr>
          <w:highlight w:val="yellow"/>
        </w:rPr>
        <w:t>INPUT NEEDED</w:t>
      </w:r>
    </w:p>
    <w:p>
      <w:pPr>
        <w:pStyle w:val="Normal"/>
        <w:rPr>
          <w:sz w:val="18"/>
          <w:szCs w:val="18"/>
        </w:rPr>
      </w:pPr>
      <w:r>
        <w:rPr/>
        <w:drawing>
          <wp:inline distT="0" distB="0" distL="0" distR="0">
            <wp:extent cx="3089910" cy="1802765"/>
            <wp:effectExtent l="0" t="0" r="0" b="0"/>
            <wp:docPr id="2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descr=""/>
                    <pic:cNvPicPr>
                      <a:picLocks noChangeAspect="1" noChangeArrowheads="1"/>
                    </pic:cNvPicPr>
                  </pic:nvPicPr>
                  <pic:blipFill>
                    <a:blip r:embed="rId31"/>
                    <a:stretch>
                      <a:fillRect/>
                    </a:stretch>
                  </pic:blipFill>
                  <pic:spPr bwMode="auto">
                    <a:xfrm>
                      <a:off x="0" y="0"/>
                      <a:ext cx="3089910" cy="1802765"/>
                    </a:xfrm>
                    <a:prstGeom prst="rect">
                      <a:avLst/>
                    </a:prstGeom>
                  </pic:spPr>
                </pic:pic>
              </a:graphicData>
            </a:graphic>
          </wp:inline>
        </w:drawing>
      </w:r>
    </w:p>
    <w:p>
      <w:pPr>
        <w:pStyle w:val="Normal"/>
        <w:rPr>
          <w:sz w:val="18"/>
          <w:szCs w:val="18"/>
        </w:rPr>
      </w:pPr>
      <w:r>
        <w:rPr>
          <w:sz w:val="18"/>
          <w:szCs w:val="18"/>
        </w:rPr>
      </w:r>
    </w:p>
    <w:p>
      <w:pPr>
        <w:pStyle w:val="Normal"/>
        <w:rPr>
          <w:sz w:val="18"/>
          <w:szCs w:val="18"/>
        </w:rPr>
      </w:pPr>
      <w:r>
        <w:rPr/>
        <w:drawing>
          <wp:inline distT="0" distB="0" distL="0" distR="0">
            <wp:extent cx="3089910" cy="1802765"/>
            <wp:effectExtent l="0" t="0" r="0" b="0"/>
            <wp:docPr id="3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
                    <pic:cNvPicPr>
                      <a:picLocks noChangeAspect="1" noChangeArrowheads="1"/>
                    </pic:cNvPicPr>
                  </pic:nvPicPr>
                  <pic:blipFill>
                    <a:blip r:embed="rId32"/>
                    <a:stretch>
                      <a:fillRect/>
                    </a:stretch>
                  </pic:blipFill>
                  <pic:spPr bwMode="auto">
                    <a:xfrm>
                      <a:off x="0" y="0"/>
                      <a:ext cx="3089910" cy="1802765"/>
                    </a:xfrm>
                    <a:prstGeom prst="rect">
                      <a:avLst/>
                    </a:prstGeom>
                  </pic:spPr>
                </pic:pic>
              </a:graphicData>
            </a:graphic>
          </wp:inline>
        </w:drawing>
      </w:r>
    </w:p>
    <w:p>
      <w:pPr>
        <w:pStyle w:val="Normal"/>
        <w:jc w:val="both"/>
        <w:rPr/>
      </w:pPr>
      <w:r>
        <w:rPr/>
        <w:t xml:space="preserve">Base on the chart, sampling data spread concentrating on the range from 120 to 200, which proves that the data is correct according </w:t>
      </w:r>
      <w:r>
        <w:rPr/>
        <w:t xml:space="preserve">to </w:t>
      </w:r>
      <w:r>
        <w:rPr/>
        <w:t>the standard height of human beings.</w:t>
      </w:r>
    </w:p>
    <w:p>
      <w:pPr>
        <w:pStyle w:val="Normal"/>
        <w:jc w:val="both"/>
        <w:rPr/>
      </w:pPr>
      <w:r>
        <w:rPr/>
        <w:t xml:space="preserve">The </w:t>
      </w:r>
      <w:r>
        <w:rPr/>
        <w:t>positive result</w:t>
      </w:r>
      <w:r>
        <w:rPr/>
        <w:t>s</w:t>
      </w:r>
      <w:r>
        <w:rPr/>
        <w:t xml:space="preserve"> also spread the same range of height and </w:t>
      </w:r>
      <w:r>
        <w:rPr/>
        <w:t xml:space="preserve">this </w:t>
      </w:r>
      <w:r>
        <w:rPr/>
        <w:t>prove</w:t>
      </w:r>
      <w:r>
        <w:rPr/>
        <w:t xml:space="preserve">s </w:t>
      </w:r>
      <w:r>
        <w:rPr/>
        <w:t xml:space="preserve">that height is not </w:t>
      </w:r>
      <w:r>
        <w:rPr/>
        <w:t xml:space="preserve">a key </w:t>
      </w:r>
      <w:r>
        <w:rPr/>
        <w:t xml:space="preserve">factor to CVD. However, the positive tested results spread as much as </w:t>
      </w:r>
      <w:r>
        <w:rPr/>
        <w:t>possible</w:t>
      </w:r>
      <w:r>
        <w:rPr/>
        <w:t xml:space="preserve"> at higher weight sampling data. We believed that Weight is the one of the key factor</w:t>
      </w:r>
      <w:r>
        <w:rPr/>
        <w:t>s</w:t>
      </w:r>
      <w:r>
        <w:rPr/>
        <w:t xml:space="preserve"> to Cardiocasvular Disease.</w:t>
      </w:r>
    </w:p>
    <w:p>
      <w:pPr>
        <w:pStyle w:val="Heading1"/>
        <w:numPr>
          <w:ilvl w:val="0"/>
          <w:numId w:val="2"/>
        </w:numPr>
        <w:ind w:hanging="0"/>
        <w:rPr/>
      </w:pPr>
      <w:r>
        <w:rPr/>
        <w:t>Machine learning</w:t>
      </w:r>
    </w:p>
    <w:p>
      <w:pPr>
        <w:pStyle w:val="Heading2"/>
        <w:numPr>
          <w:ilvl w:val="1"/>
          <w:numId w:val="2"/>
        </w:numPr>
        <w:rPr/>
      </w:pPr>
      <w:r>
        <w:rPr/>
        <w:t>Model Selection</w:t>
      </w:r>
    </w:p>
    <w:p>
      <w:pPr>
        <w:pStyle w:val="TextBody"/>
        <w:rPr/>
      </w:pPr>
      <w:r>
        <w:rPr/>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one. </w:t>
      </w:r>
    </w:p>
    <w:p>
      <w:pPr>
        <w:pStyle w:val="ListParagraph"/>
        <w:numPr>
          <w:ilvl w:val="0"/>
          <w:numId w:val="4"/>
        </w:numPr>
        <w:jc w:val="both"/>
        <w:rPr/>
      </w:pPr>
      <w:r>
        <w:rPr/>
        <w:t>Logistic Regression</w:t>
      </w:r>
    </w:p>
    <w:p>
      <w:pPr>
        <w:pStyle w:val="ListParagraph"/>
        <w:ind w:left="0" w:hanging="0"/>
        <w:jc w:val="both"/>
        <w:rPr/>
      </w:pPr>
      <w:r>
        <w:rPr/>
        <w:t>Logistic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pPr>
        <w:pStyle w:val="ListParagraph"/>
        <w:jc w:val="left"/>
        <w:rPr/>
      </w:pPr>
      <w:r>
        <w:rPr/>
      </w:r>
    </w:p>
    <w:p>
      <w:pPr>
        <w:pStyle w:val="ListParagraph"/>
        <w:numPr>
          <w:ilvl w:val="0"/>
          <w:numId w:val="4"/>
        </w:numPr>
        <w:jc w:val="both"/>
        <w:rPr/>
      </w:pPr>
      <w:r>
        <w:rPr/>
        <w:t>Decision Tree</w:t>
      </w:r>
    </w:p>
    <w:p>
      <w:pPr>
        <w:pStyle w:val="ListParagraph"/>
        <w:ind w:left="0" w:hanging="0"/>
        <w:jc w:val="both"/>
        <w:rPr/>
      </w:pPr>
      <w:r>
        <w:rPr/>
        <w:t>Decision Tree or in short DT is a widely used non-parametric model. DT uses a tree-like model with branches, leaf nodes and root node to implement conditional control statements.</w:t>
      </w:r>
    </w:p>
    <w:p>
      <w:pPr>
        <w:pStyle w:val="ListParagraph"/>
        <w:ind w:left="0" w:hanging="0"/>
        <w:jc w:val="both"/>
        <w:rPr/>
      </w:pPr>
      <w:r>
        <w:rPr/>
      </w:r>
    </w:p>
    <w:p>
      <w:pPr>
        <w:pStyle w:val="ListParagraph"/>
        <w:numPr>
          <w:ilvl w:val="0"/>
          <w:numId w:val="4"/>
        </w:numPr>
        <w:jc w:val="both"/>
        <w:rPr/>
      </w:pPr>
      <w:r>
        <w:rPr/>
        <w:t>Support Vector Machine (SVM)</w:t>
      </w:r>
    </w:p>
    <w:p>
      <w:pPr>
        <w:pStyle w:val="Normal"/>
        <w:jc w:val="both"/>
        <w:rPr/>
      </w:pPr>
      <w:r>
        <w:rPr/>
        <w:t xml:space="preserve">SVM is a non-parametric model and makes less assumptions about the data. For this reason, even if the real-world data do not follow the training data distributions in future, it will still give a fair result. </w:t>
      </w:r>
    </w:p>
    <w:p>
      <w:pPr>
        <w:pStyle w:val="Normal"/>
        <w:jc w:val="both"/>
        <w:rPr/>
      </w:pPr>
      <w:r>
        <w:rPr/>
      </w:r>
    </w:p>
    <w:p>
      <w:pPr>
        <w:pStyle w:val="ListParagraph"/>
        <w:numPr>
          <w:ilvl w:val="0"/>
          <w:numId w:val="5"/>
        </w:numPr>
        <w:jc w:val="both"/>
        <w:rPr/>
      </w:pPr>
      <w:r>
        <w:rPr/>
        <w:t>Naïve Bayes</w:t>
      </w:r>
    </w:p>
    <w:p>
      <w:pPr>
        <w:pStyle w:val="Normal"/>
        <w:jc w:val="both"/>
        <w:rPr/>
      </w:pPr>
      <w:r>
        <w:rPr/>
        <w:t>In contrast to SVM and DT, Naïve Bayes is a parametric model and has several assumptions about the data, for example, it assumes that the features are independent of each other.</w:t>
      </w:r>
    </w:p>
    <w:p>
      <w:pPr>
        <w:pStyle w:val="Normal"/>
        <w:rPr/>
      </w:pPr>
      <w:r>
        <w:rPr/>
      </w:r>
    </w:p>
    <w:p>
      <w:pPr>
        <w:pStyle w:val="Heading2"/>
        <w:numPr>
          <w:ilvl w:val="1"/>
          <w:numId w:val="2"/>
        </w:numPr>
        <w:rPr/>
      </w:pPr>
      <w:r>
        <w:rPr/>
        <w:t>Model Evaluation</w:t>
      </w:r>
    </w:p>
    <w:p>
      <w:pPr>
        <w:pStyle w:val="TextBody"/>
        <w:rPr/>
      </w:pPr>
      <w:r>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pPr>
        <w:pStyle w:val="Normal"/>
        <w:rPr/>
      </w:pPr>
      <w:r>
        <w:rPr/>
      </w:r>
    </w:p>
    <w:p>
      <w:pPr>
        <w:pStyle w:val="Heading1"/>
        <w:numPr>
          <w:ilvl w:val="0"/>
          <w:numId w:val="2"/>
        </w:numPr>
        <w:ind w:hanging="0"/>
        <w:rPr/>
      </w:pPr>
      <w:r>
        <w:rPr/>
        <w:t>results and discussion</w:t>
      </w:r>
    </w:p>
    <w:p>
      <w:pPr>
        <w:pStyle w:val="Heading2"/>
        <w:numPr>
          <w:ilvl w:val="1"/>
          <w:numId w:val="2"/>
        </w:numPr>
        <w:rPr/>
      </w:pPr>
      <w:r>
        <w:rPr/>
        <w:t>Single Variable Model</w:t>
      </w:r>
    </w:p>
    <w:p>
      <w:pPr>
        <w:pStyle w:val="Normal"/>
        <w:jc w:val="left"/>
        <w:rPr/>
      </w:pPr>
      <w:r>
        <w:rPr/>
        <w:t>Single variable prediction using "Systole" attribute alone yields around 71.7% accuracy. This is the null model which our models must beat.</w:t>
      </w:r>
    </w:p>
    <w:p>
      <w:pPr>
        <w:pStyle w:val="Normal"/>
        <w:jc w:val="left"/>
        <w:rPr/>
      </w:pPr>
      <w:r>
        <w:rPr/>
      </w:r>
    </w:p>
    <w:p>
      <w:pPr>
        <w:pStyle w:val="Normal"/>
        <w:rPr/>
      </w:pPr>
      <w:r>
        <w:rPr/>
        <w:drawing>
          <wp:inline distT="0" distB="0" distL="0" distR="0">
            <wp:extent cx="1847215" cy="2286000"/>
            <wp:effectExtent l="0" t="0" r="0" b="0"/>
            <wp:docPr id="31"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9" descr=""/>
                    <pic:cNvPicPr>
                      <a:picLocks noChangeAspect="1" noChangeArrowheads="1"/>
                    </pic:cNvPicPr>
                  </pic:nvPicPr>
                  <pic:blipFill>
                    <a:blip r:embed="rId33"/>
                    <a:stretch>
                      <a:fillRect/>
                    </a:stretch>
                  </pic:blipFill>
                  <pic:spPr bwMode="auto">
                    <a:xfrm>
                      <a:off x="0" y="0"/>
                      <a:ext cx="1847215" cy="2286000"/>
                    </a:xfrm>
                    <a:prstGeom prst="rect">
                      <a:avLst/>
                    </a:prstGeom>
                  </pic:spPr>
                </pic:pic>
              </a:graphicData>
            </a:graphic>
          </wp:inline>
        </w:drawing>
      </w:r>
    </w:p>
    <w:p>
      <w:pPr>
        <w:pStyle w:val="Normal"/>
        <w:jc w:val="left"/>
        <w:rPr/>
      </w:pPr>
      <w:r>
        <w:rPr/>
      </w:r>
    </w:p>
    <w:p>
      <w:pPr>
        <w:pStyle w:val="Heading2"/>
        <w:numPr>
          <w:ilvl w:val="1"/>
          <w:numId w:val="2"/>
        </w:numPr>
        <w:rPr/>
      </w:pPr>
      <w:r>
        <w:rPr/>
        <w:t>Algorithm</w:t>
      </w:r>
    </w:p>
    <w:p>
      <w:pPr>
        <w:pStyle w:val="Heading3"/>
        <w:numPr>
          <w:ilvl w:val="2"/>
          <w:numId w:val="2"/>
        </w:numPr>
        <w:ind w:firstLine="288"/>
        <w:rPr/>
      </w:pPr>
      <w:r>
        <w:rPr/>
        <w:t>Naïve Bayes</w:t>
      </w:r>
    </w:p>
    <w:p>
      <w:pPr>
        <w:pStyle w:val="Normal"/>
        <w:rPr/>
      </w:pPr>
      <w:r>
        <w:rPr/>
        <w:drawing>
          <wp:inline distT="0" distB="0" distL="0" distR="0">
            <wp:extent cx="1864995" cy="2280285"/>
            <wp:effectExtent l="0" t="0" r="0" b="0"/>
            <wp:docPr id="32"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0" descr=""/>
                    <pic:cNvPicPr>
                      <a:picLocks noChangeAspect="1" noChangeArrowheads="1"/>
                    </pic:cNvPicPr>
                  </pic:nvPicPr>
                  <pic:blipFill>
                    <a:blip r:embed="rId34"/>
                    <a:stretch>
                      <a:fillRect/>
                    </a:stretch>
                  </pic:blipFill>
                  <pic:spPr bwMode="auto">
                    <a:xfrm>
                      <a:off x="0" y="0"/>
                      <a:ext cx="1864995" cy="2280285"/>
                    </a:xfrm>
                    <a:prstGeom prst="rect">
                      <a:avLst/>
                    </a:prstGeom>
                  </pic:spPr>
                </pic:pic>
              </a:graphicData>
            </a:graphic>
          </wp:inline>
        </w:drawing>
      </w:r>
    </w:p>
    <w:p>
      <w:pPr>
        <w:pStyle w:val="Normal"/>
        <w:rPr/>
      </w:pPr>
      <w:r>
        <w:rPr/>
      </w:r>
    </w:p>
    <w:p>
      <w:pPr>
        <w:pStyle w:val="Heading3"/>
        <w:numPr>
          <w:ilvl w:val="2"/>
          <w:numId w:val="2"/>
        </w:numPr>
        <w:ind w:firstLine="288"/>
        <w:rPr/>
      </w:pPr>
      <w:r>
        <w:rPr/>
        <w:t>Logistic Regression</w:t>
      </w:r>
    </w:p>
    <w:p>
      <w:pPr>
        <w:pStyle w:val="Normal"/>
        <w:rPr/>
      </w:pPr>
      <w:r>
        <w:rPr/>
        <w:drawing>
          <wp:inline distT="0" distB="0" distL="0" distR="0">
            <wp:extent cx="2070100" cy="2529205"/>
            <wp:effectExtent l="0" t="0" r="0" b="0"/>
            <wp:docPr id="33"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1" descr=""/>
                    <pic:cNvPicPr>
                      <a:picLocks noChangeAspect="1" noChangeArrowheads="1"/>
                    </pic:cNvPicPr>
                  </pic:nvPicPr>
                  <pic:blipFill>
                    <a:blip r:embed="rId35"/>
                    <a:stretch>
                      <a:fillRect/>
                    </a:stretch>
                  </pic:blipFill>
                  <pic:spPr bwMode="auto">
                    <a:xfrm>
                      <a:off x="0" y="0"/>
                      <a:ext cx="2070100" cy="2529205"/>
                    </a:xfrm>
                    <a:prstGeom prst="rect">
                      <a:avLst/>
                    </a:prstGeom>
                  </pic:spPr>
                </pic:pic>
              </a:graphicData>
            </a:graphic>
          </wp:inline>
        </w:drawing>
      </w:r>
    </w:p>
    <w:p>
      <w:pPr>
        <w:pStyle w:val="Normal"/>
        <w:rPr/>
      </w:pPr>
      <w:r>
        <w:rPr/>
      </w:r>
    </w:p>
    <w:p>
      <w:pPr>
        <w:pStyle w:val="Normal"/>
        <w:rPr/>
      </w:pPr>
      <w:r>
        <w:rPr/>
      </w:r>
    </w:p>
    <w:p>
      <w:pPr>
        <w:pStyle w:val="Heading3"/>
        <w:numPr>
          <w:ilvl w:val="2"/>
          <w:numId w:val="2"/>
        </w:numPr>
        <w:ind w:firstLine="288"/>
        <w:rPr/>
      </w:pPr>
      <w:r>
        <w:rPr/>
        <w:t>Support Vector Machine (SVM)</w:t>
      </w:r>
    </w:p>
    <w:p>
      <w:pPr>
        <w:pStyle w:val="Normal"/>
        <w:rPr/>
      </w:pPr>
      <w:r>
        <w:rPr/>
        <w:drawing>
          <wp:inline distT="0" distB="0" distL="0" distR="0">
            <wp:extent cx="1990725" cy="2430780"/>
            <wp:effectExtent l="0" t="0" r="0" b="0"/>
            <wp:docPr id="34"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2" descr=""/>
                    <pic:cNvPicPr>
                      <a:picLocks noChangeAspect="1" noChangeArrowheads="1"/>
                    </pic:cNvPicPr>
                  </pic:nvPicPr>
                  <pic:blipFill>
                    <a:blip r:embed="rId36"/>
                    <a:stretch>
                      <a:fillRect/>
                    </a:stretch>
                  </pic:blipFill>
                  <pic:spPr bwMode="auto">
                    <a:xfrm>
                      <a:off x="0" y="0"/>
                      <a:ext cx="1990725" cy="2430780"/>
                    </a:xfrm>
                    <a:prstGeom prst="rect">
                      <a:avLst/>
                    </a:prstGeom>
                  </pic:spPr>
                </pic:pic>
              </a:graphicData>
            </a:graphic>
          </wp:inline>
        </w:drawing>
      </w:r>
    </w:p>
    <w:p>
      <w:pPr>
        <w:pStyle w:val="Normal"/>
        <w:rPr/>
      </w:pPr>
      <w:r>
        <w:rPr/>
      </w:r>
    </w:p>
    <w:p>
      <w:pPr>
        <w:pStyle w:val="Heading3"/>
        <w:numPr>
          <w:ilvl w:val="2"/>
          <w:numId w:val="2"/>
        </w:numPr>
        <w:ind w:firstLine="288"/>
        <w:rPr/>
      </w:pPr>
      <w:r>
        <w:rPr/>
        <w:t>Decision Tree</w:t>
      </w:r>
    </w:p>
    <w:p>
      <w:pPr>
        <w:pStyle w:val="Normal"/>
        <w:rPr/>
      </w:pPr>
      <w:r>
        <w:rPr/>
        <w:drawing>
          <wp:inline distT="0" distB="0" distL="0" distR="0">
            <wp:extent cx="1913255" cy="2419350"/>
            <wp:effectExtent l="0" t="0" r="0" b="0"/>
            <wp:docPr id="35"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3" descr=""/>
                    <pic:cNvPicPr>
                      <a:picLocks noChangeAspect="1" noChangeArrowheads="1"/>
                    </pic:cNvPicPr>
                  </pic:nvPicPr>
                  <pic:blipFill>
                    <a:blip r:embed="rId37"/>
                    <a:stretch>
                      <a:fillRect/>
                    </a:stretch>
                  </pic:blipFill>
                  <pic:spPr bwMode="auto">
                    <a:xfrm>
                      <a:off x="0" y="0"/>
                      <a:ext cx="1913255" cy="2419350"/>
                    </a:xfrm>
                    <a:prstGeom prst="rect">
                      <a:avLst/>
                    </a:prstGeom>
                  </pic:spPr>
                </pic:pic>
              </a:graphicData>
            </a:graphic>
          </wp:inline>
        </w:drawing>
      </w:r>
    </w:p>
    <w:p>
      <w:pPr>
        <w:pStyle w:val="Normal"/>
        <w:rPr/>
      </w:pPr>
      <w:r>
        <w:rPr/>
      </w:r>
    </w:p>
    <w:p>
      <w:pPr>
        <w:pStyle w:val="Normal"/>
        <w:rPr/>
      </w:pPr>
      <w:r>
        <w:rPr/>
      </w:r>
    </w:p>
    <w:p>
      <w:pPr>
        <w:pStyle w:val="Heading2"/>
        <w:numPr>
          <w:ilvl w:val="1"/>
          <w:numId w:val="2"/>
        </w:numPr>
        <w:rPr/>
      </w:pPr>
      <w:r>
        <w:rPr/>
        <w:t>Summary table</w:t>
      </w:r>
    </w:p>
    <w:tbl>
      <w:tblPr>
        <w:tblStyle w:val="TableGrid"/>
        <w:tblW w:w="4214" w:type="dxa"/>
        <w:jc w:val="left"/>
        <w:tblInd w:w="0" w:type="dxa"/>
        <w:tblCellMar>
          <w:top w:w="0" w:type="dxa"/>
          <w:left w:w="108" w:type="dxa"/>
          <w:bottom w:w="0" w:type="dxa"/>
          <w:right w:w="108" w:type="dxa"/>
        </w:tblCellMar>
        <w:tblLook w:noVBand="1" w:noHBand="0" w:firstColumn="1" w:lastRow="0" w:lastColumn="0" w:firstRow="1"/>
      </w:tblPr>
      <w:tblGrid>
        <w:gridCol w:w="927"/>
        <w:gridCol w:w="963"/>
        <w:gridCol w:w="732"/>
        <w:gridCol w:w="1063"/>
        <w:gridCol w:w="529"/>
      </w:tblGrid>
      <w:tr>
        <w:trPr/>
        <w:tc>
          <w:tcPr>
            <w:tcW w:w="927"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Model</w:t>
            </w:r>
          </w:p>
        </w:tc>
        <w:tc>
          <w:tcPr>
            <w:tcW w:w="963"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Accuracy</w:t>
            </w:r>
          </w:p>
        </w:tc>
        <w:tc>
          <w:tcPr>
            <w:tcW w:w="732"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P-Value</w:t>
            </w:r>
          </w:p>
        </w:tc>
        <w:tc>
          <w:tcPr>
            <w:tcW w:w="1063" w:type="dxa"/>
            <w:tcBorders/>
            <w:shd w:fill="auto" w:val="clear"/>
          </w:tcPr>
          <w:p>
            <w:pPr>
              <w:pStyle w:val="Normal"/>
              <w:rPr>
                <w:rFonts w:ascii="Times New Roman" w:hAnsi="Times New Roman" w:cs="Times New Roman"/>
                <w:b/>
                <w:b/>
                <w:sz w:val="16"/>
                <w:szCs w:val="16"/>
              </w:rPr>
            </w:pPr>
            <w:r>
              <w:rPr>
                <w:rFonts w:eastAsia="Calibri" w:cs="Times New Roman" w:ascii="Calibri" w:hAnsi="Calibri" w:eastAsiaTheme="minorHAnsi"/>
                <w:b/>
                <w:sz w:val="16"/>
                <w:szCs w:val="16"/>
                <w:lang w:val="en-MY"/>
              </w:rPr>
              <w:t>Sensitivity</w:t>
            </w:r>
          </w:p>
        </w:tc>
        <w:tc>
          <w:tcPr>
            <w:tcW w:w="529" w:type="dxa"/>
            <w:tcBorders/>
            <w:shd w:fill="auto" w:val="clear"/>
          </w:tcPr>
          <w:p>
            <w:pPr>
              <w:pStyle w:val="Normal"/>
              <w:rPr>
                <w:rFonts w:ascii="Calibri" w:hAnsi="Calibri" w:eastAsia="Calibri" w:cs="" w:asciiTheme="minorHAnsi" w:cstheme="minorBidi" w:eastAsiaTheme="minorHAnsi" w:hAnsiTheme="minorHAnsi"/>
                <w:b/>
                <w:b/>
                <w:sz w:val="22"/>
                <w:szCs w:val="22"/>
                <w:lang w:val="en-MY"/>
              </w:rPr>
            </w:pPr>
            <w:r>
              <w:rPr>
                <w:rFonts w:eastAsia="Calibri" w:cs="" w:cstheme="minorBidi" w:eastAsiaTheme="minorHAnsi" w:ascii="Calibri" w:hAnsi="Calibri"/>
                <w:b/>
                <w:sz w:val="22"/>
                <w:szCs w:val="22"/>
                <w:lang w:val="en-MY"/>
              </w:rPr>
            </w:r>
          </w:p>
        </w:tc>
      </w:tr>
      <w:tr>
        <w:trPr/>
        <w:tc>
          <w:tcPr>
            <w:tcW w:w="927"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Single Variable Model</w:t>
            </w:r>
          </w:p>
        </w:tc>
        <w:tc>
          <w:tcPr>
            <w:tcW w:w="9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0.717</w:t>
            </w:r>
          </w:p>
        </w:tc>
        <w:tc>
          <w:tcPr>
            <w:tcW w:w="732"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2.2e-16</w:t>
            </w:r>
          </w:p>
        </w:tc>
        <w:tc>
          <w:tcPr>
            <w:tcW w:w="10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0.6094</w:t>
            </w:r>
          </w:p>
        </w:tc>
        <w:tc>
          <w:tcPr>
            <w:tcW w:w="529" w:type="dxa"/>
            <w:tcBorders/>
            <w:shd w:fill="auto" w:val="clear"/>
          </w:tcPr>
          <w:p>
            <w:pPr>
              <w:pStyle w:val="Normal"/>
              <w:rPr>
                <w:rFonts w:ascii="Calibri" w:hAnsi="Calibri" w:eastAsia="Calibri" w:cs="" w:asciiTheme="minorHAnsi" w:cstheme="minorBidi" w:eastAsiaTheme="minorHAnsi" w:hAnsiTheme="minorHAnsi"/>
                <w:sz w:val="22"/>
                <w:szCs w:val="22"/>
                <w:lang w:val="en-MY"/>
              </w:rPr>
            </w:pPr>
            <w:r>
              <w:rPr>
                <w:rFonts w:eastAsia="Calibri" w:cs="" w:cstheme="minorBidi" w:eastAsiaTheme="minorHAnsi" w:ascii="Calibri" w:hAnsi="Calibri"/>
                <w:sz w:val="22"/>
                <w:szCs w:val="22"/>
                <w:lang w:val="en-MY"/>
              </w:rPr>
            </w:r>
          </w:p>
        </w:tc>
      </w:tr>
      <w:tr>
        <w:trPr/>
        <w:tc>
          <w:tcPr>
            <w:tcW w:w="927"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Naïve Bayes</w:t>
            </w:r>
          </w:p>
        </w:tc>
        <w:tc>
          <w:tcPr>
            <w:tcW w:w="9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0.7216</w:t>
            </w:r>
          </w:p>
        </w:tc>
        <w:tc>
          <w:tcPr>
            <w:tcW w:w="732"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2.2e-6</w:t>
            </w:r>
          </w:p>
        </w:tc>
        <w:tc>
          <w:tcPr>
            <w:tcW w:w="10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0.6114</w:t>
            </w:r>
          </w:p>
        </w:tc>
        <w:tc>
          <w:tcPr>
            <w:tcW w:w="529" w:type="dxa"/>
            <w:tcBorders/>
            <w:shd w:fill="auto" w:val="clear"/>
          </w:tcPr>
          <w:p>
            <w:pPr>
              <w:pStyle w:val="Normal"/>
              <w:rPr>
                <w:rFonts w:ascii="Calibri" w:hAnsi="Calibri" w:eastAsia="Calibri" w:cs="" w:asciiTheme="minorHAnsi" w:cstheme="minorBidi" w:eastAsiaTheme="minorHAnsi" w:hAnsiTheme="minorHAnsi"/>
                <w:sz w:val="22"/>
                <w:szCs w:val="22"/>
                <w:lang w:val="en-MY"/>
              </w:rPr>
            </w:pPr>
            <w:r>
              <w:rPr>
                <w:rFonts w:eastAsia="Calibri" w:cs="" w:cstheme="minorBidi" w:eastAsiaTheme="minorHAnsi" w:ascii="Calibri" w:hAnsi="Calibri"/>
                <w:sz w:val="22"/>
                <w:szCs w:val="22"/>
                <w:lang w:val="en-MY"/>
              </w:rPr>
            </w:r>
          </w:p>
        </w:tc>
      </w:tr>
      <w:tr>
        <w:trPr/>
        <w:tc>
          <w:tcPr>
            <w:tcW w:w="927"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Logistic Regression</w:t>
            </w:r>
          </w:p>
        </w:tc>
        <w:tc>
          <w:tcPr>
            <w:tcW w:w="9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0.7109</w:t>
            </w:r>
          </w:p>
        </w:tc>
        <w:tc>
          <w:tcPr>
            <w:tcW w:w="732"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2.2e-16</w:t>
            </w:r>
          </w:p>
        </w:tc>
        <w:tc>
          <w:tcPr>
            <w:tcW w:w="10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0.5277</w:t>
            </w:r>
          </w:p>
        </w:tc>
        <w:tc>
          <w:tcPr>
            <w:tcW w:w="529" w:type="dxa"/>
            <w:tcBorders/>
            <w:shd w:fill="auto" w:val="clear"/>
          </w:tcPr>
          <w:p>
            <w:pPr>
              <w:pStyle w:val="Normal"/>
              <w:rPr>
                <w:rFonts w:ascii="Calibri" w:hAnsi="Calibri" w:eastAsia="Calibri" w:cs="" w:asciiTheme="minorHAnsi" w:cstheme="minorBidi" w:eastAsiaTheme="minorHAnsi" w:hAnsiTheme="minorHAnsi"/>
                <w:sz w:val="22"/>
                <w:szCs w:val="22"/>
                <w:lang w:val="en-MY"/>
              </w:rPr>
            </w:pPr>
            <w:r>
              <w:rPr>
                <w:rFonts w:eastAsia="Calibri" w:cs="" w:cstheme="minorBidi" w:eastAsiaTheme="minorHAnsi" w:ascii="Calibri" w:hAnsi="Calibri"/>
                <w:sz w:val="22"/>
                <w:szCs w:val="22"/>
                <w:lang w:val="en-MY"/>
              </w:rPr>
            </w:r>
          </w:p>
        </w:tc>
      </w:tr>
      <w:tr>
        <w:trPr/>
        <w:tc>
          <w:tcPr>
            <w:tcW w:w="927"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SVM</w:t>
            </w:r>
          </w:p>
        </w:tc>
        <w:tc>
          <w:tcPr>
            <w:tcW w:w="9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0.7333</w:t>
            </w:r>
          </w:p>
        </w:tc>
        <w:tc>
          <w:tcPr>
            <w:tcW w:w="732"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2.2e-16</w:t>
            </w:r>
          </w:p>
        </w:tc>
        <w:tc>
          <w:tcPr>
            <w:tcW w:w="10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0.6301</w:t>
            </w:r>
          </w:p>
        </w:tc>
        <w:tc>
          <w:tcPr>
            <w:tcW w:w="529" w:type="dxa"/>
            <w:tcBorders/>
            <w:shd w:fill="auto" w:val="clear"/>
          </w:tcPr>
          <w:p>
            <w:pPr>
              <w:pStyle w:val="Normal"/>
              <w:rPr>
                <w:rFonts w:ascii="Calibri" w:hAnsi="Calibri" w:eastAsia="Calibri" w:cs="" w:asciiTheme="minorHAnsi" w:cstheme="minorBidi" w:eastAsiaTheme="minorHAnsi" w:hAnsiTheme="minorHAnsi"/>
                <w:sz w:val="22"/>
                <w:szCs w:val="22"/>
                <w:lang w:val="en-MY"/>
              </w:rPr>
            </w:pPr>
            <w:r>
              <w:rPr>
                <w:rFonts w:eastAsia="Calibri" w:cs="" w:cstheme="minorBidi" w:eastAsiaTheme="minorHAnsi" w:ascii="Calibri" w:hAnsi="Calibri"/>
                <w:sz w:val="22"/>
                <w:szCs w:val="22"/>
                <w:lang w:val="en-MY"/>
              </w:rPr>
            </w:r>
          </w:p>
        </w:tc>
      </w:tr>
      <w:tr>
        <w:trPr/>
        <w:tc>
          <w:tcPr>
            <w:tcW w:w="927"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Decision Tree</w:t>
            </w:r>
          </w:p>
        </w:tc>
        <w:tc>
          <w:tcPr>
            <w:tcW w:w="9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0.717</w:t>
            </w:r>
          </w:p>
        </w:tc>
        <w:tc>
          <w:tcPr>
            <w:tcW w:w="732"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2.2e-16</w:t>
            </w:r>
          </w:p>
        </w:tc>
        <w:tc>
          <w:tcPr>
            <w:tcW w:w="1063" w:type="dxa"/>
            <w:tcBorders/>
            <w:shd w:fill="auto" w:val="clear"/>
          </w:tcPr>
          <w:p>
            <w:pPr>
              <w:pStyle w:val="Normal"/>
              <w:rPr>
                <w:rFonts w:ascii="Times New Roman" w:hAnsi="Times New Roman" w:cs="Times New Roman"/>
                <w:sz w:val="16"/>
                <w:szCs w:val="16"/>
              </w:rPr>
            </w:pPr>
            <w:r>
              <w:rPr>
                <w:rFonts w:eastAsia="Calibri" w:cs="Times New Roman" w:ascii="Calibri" w:hAnsi="Calibri" w:eastAsiaTheme="minorHAnsi"/>
                <w:sz w:val="16"/>
                <w:szCs w:val="16"/>
                <w:lang w:val="en-MY"/>
              </w:rPr>
              <w:t>0.6094</w:t>
            </w:r>
          </w:p>
        </w:tc>
        <w:tc>
          <w:tcPr>
            <w:tcW w:w="529" w:type="dxa"/>
            <w:tcBorders/>
            <w:shd w:fill="auto" w:val="clear"/>
          </w:tcPr>
          <w:p>
            <w:pPr>
              <w:pStyle w:val="Normal"/>
              <w:rPr>
                <w:rFonts w:ascii="Calibri" w:hAnsi="Calibri" w:eastAsia="Calibri" w:cs="" w:asciiTheme="minorHAnsi" w:cstheme="minorBidi" w:eastAsiaTheme="minorHAnsi" w:hAnsiTheme="minorHAnsi"/>
                <w:sz w:val="22"/>
                <w:szCs w:val="22"/>
                <w:lang w:val="en-MY"/>
              </w:rPr>
            </w:pPr>
            <w:r>
              <w:rPr>
                <w:rFonts w:eastAsia="Calibri" w:cs="" w:cstheme="minorBidi" w:eastAsiaTheme="minorHAnsi" w:ascii="Calibri" w:hAnsi="Calibri"/>
                <w:sz w:val="22"/>
                <w:szCs w:val="22"/>
                <w:lang w:val="en-MY"/>
              </w:rPr>
            </w:r>
          </w:p>
        </w:tc>
      </w:tr>
    </w:tbl>
    <w:p>
      <w:pPr>
        <w:pStyle w:val="Normal"/>
        <w:rPr/>
      </w:pPr>
      <w:r>
        <w:rPr/>
      </w:r>
    </w:p>
    <w:p>
      <w:pPr>
        <w:pStyle w:val="Normal"/>
        <w:jc w:val="left"/>
        <w:rPr>
          <w:rFonts w:eastAsia="Times New Roman"/>
          <w:szCs w:val="21"/>
          <w:lang w:eastAsia="zh-CN"/>
        </w:rPr>
      </w:pPr>
      <w:r>
        <w:rPr>
          <w:rFonts w:eastAsia="Times New Roman"/>
          <w:szCs w:val="21"/>
          <w:lang w:eastAsia="zh-CN"/>
        </w:rPr>
        <w:t>We take simple feature as null model, we take 71.7% accurancy as our baseline.</w:t>
        <w:br/>
        <w:t>p-value is 0.00000000000000022 which is less than the theshold 0.05,</w:t>
        <w:br/>
        <w:t>then we reject the null hypothesis, and we say the result is statistically significant.</w:t>
        <w:br/>
        <w:t>null model have a sensitivity of 0.6094</w:t>
      </w:r>
    </w:p>
    <w:p>
      <w:pPr>
        <w:pStyle w:val="Normal"/>
        <w:jc w:val="left"/>
        <w:rPr>
          <w:rFonts w:eastAsia="Times New Roman"/>
          <w:szCs w:val="21"/>
          <w:lang w:eastAsia="zh-CN"/>
        </w:rPr>
      </w:pPr>
      <w:r>
        <w:rPr>
          <w:rFonts w:eastAsia="Times New Roman"/>
          <w:szCs w:val="21"/>
          <w:lang w:eastAsia="zh-CN"/>
        </w:rPr>
        <w:t> </w:t>
      </w:r>
    </w:p>
    <w:p>
      <w:pPr>
        <w:pStyle w:val="Normal"/>
        <w:jc w:val="left"/>
        <w:rPr>
          <w:rFonts w:eastAsia="Times New Roman"/>
          <w:szCs w:val="21"/>
          <w:lang w:eastAsia="zh-CN"/>
        </w:rPr>
      </w:pPr>
      <w:r>
        <w:rPr>
          <w:rFonts w:eastAsia="Times New Roman"/>
          <w:szCs w:val="21"/>
          <w:lang w:eastAsia="zh-CN"/>
        </w:rPr>
        <w:t>Navie Bays, we have an accurancy of 72.16%</w:t>
        <w:br/>
        <w:t>whereas the p-value is 0.00000000000000022 which is same less than the theshold 0.05.</w:t>
        <w:br/>
        <w:t>the we reject the hypothesis, and the result is satistically significant.</w:t>
        <w:br/>
        <w:t>model have around 0.6114 as sensitivity.</w:t>
        <w:br/>
        <w:t>it shows slightly higher 0.46% than our baseline accurancy.</w:t>
      </w:r>
    </w:p>
    <w:p>
      <w:pPr>
        <w:pStyle w:val="Normal"/>
        <w:jc w:val="left"/>
        <w:rPr>
          <w:rFonts w:eastAsia="Times New Roman"/>
          <w:szCs w:val="21"/>
          <w:lang w:eastAsia="zh-CN"/>
        </w:rPr>
      </w:pPr>
      <w:r>
        <w:rPr>
          <w:rFonts w:eastAsia="Times New Roman"/>
          <w:szCs w:val="21"/>
          <w:lang w:eastAsia="zh-CN"/>
        </w:rPr>
        <w:t> </w:t>
      </w:r>
    </w:p>
    <w:p>
      <w:pPr>
        <w:pStyle w:val="Normal"/>
        <w:jc w:val="left"/>
        <w:rPr>
          <w:rFonts w:eastAsia="Times New Roman"/>
          <w:szCs w:val="21"/>
          <w:lang w:eastAsia="zh-CN"/>
        </w:rPr>
      </w:pPr>
      <w:r>
        <w:rPr>
          <w:rFonts w:eastAsia="Times New Roman"/>
          <w:szCs w:val="21"/>
          <w:lang w:eastAsia="zh-CN"/>
        </w:rPr>
        <w:t>Next, we look at the our 3rd Model, Logistic Regression, we have an accurancy result of 71.09%,</w:t>
        <w:br/>
        <w:t>suprisingly that the model is decreasing around 0.61% compared to our null model.</w:t>
        <w:br/>
        <w:t>p-value have no much different among null model and Navies Bays, same as 0.00000000000000022.</w:t>
        <w:br/>
        <w:t>The sensitivity is about 0.5277.</w:t>
      </w:r>
    </w:p>
    <w:p>
      <w:pPr>
        <w:pStyle w:val="Normal"/>
        <w:jc w:val="left"/>
        <w:rPr>
          <w:rFonts w:eastAsia="Times New Roman"/>
          <w:szCs w:val="21"/>
          <w:lang w:eastAsia="zh-CN"/>
        </w:rPr>
      </w:pPr>
      <w:r>
        <w:rPr>
          <w:rFonts w:eastAsia="Times New Roman"/>
          <w:szCs w:val="21"/>
          <w:lang w:eastAsia="zh-CN"/>
        </w:rPr>
        <w:t> </w:t>
      </w:r>
    </w:p>
    <w:p>
      <w:pPr>
        <w:pStyle w:val="Normal"/>
        <w:jc w:val="left"/>
        <w:rPr>
          <w:rFonts w:eastAsia="Times New Roman"/>
          <w:szCs w:val="21"/>
          <w:lang w:eastAsia="zh-CN"/>
        </w:rPr>
      </w:pPr>
      <w:r>
        <w:rPr>
          <w:rFonts w:eastAsia="Times New Roman"/>
          <w:szCs w:val="21"/>
          <w:lang w:eastAsia="zh-CN"/>
        </w:rPr>
        <w:t>For our 4th Model Support Vector Machine (SVM), the accurancy is 73.33%. I can say that</w:t>
        <w:br/>
        <w:t>this is much improve than every models' result before and the increased gap between null model</w:t>
        <w:br/>
        <w:t>is about 1.63%. and p-value always the same at 0.00000000000000022.</w:t>
        <w:br/>
        <w:t>The sensitivity is 0.6301 also showing higher than other models.</w:t>
      </w:r>
    </w:p>
    <w:p>
      <w:pPr>
        <w:pStyle w:val="Normal"/>
        <w:jc w:val="left"/>
        <w:rPr>
          <w:rFonts w:eastAsia="Times New Roman"/>
          <w:szCs w:val="21"/>
          <w:lang w:eastAsia="zh-CN"/>
        </w:rPr>
      </w:pPr>
      <w:r>
        <w:rPr>
          <w:rFonts w:eastAsia="Times New Roman"/>
          <w:szCs w:val="21"/>
          <w:lang w:eastAsia="zh-CN"/>
        </w:rPr>
        <w:t> </w:t>
      </w:r>
    </w:p>
    <w:p>
      <w:pPr>
        <w:pStyle w:val="Normal"/>
        <w:jc w:val="left"/>
        <w:rPr>
          <w:rFonts w:eastAsia="Times New Roman"/>
          <w:szCs w:val="21"/>
          <w:lang w:eastAsia="zh-CN"/>
        </w:rPr>
      </w:pPr>
      <w:r>
        <w:rPr>
          <w:rFonts w:eastAsia="Times New Roman"/>
          <w:szCs w:val="21"/>
          <w:lang w:eastAsia="zh-CN"/>
        </w:rPr>
        <w:t>Here come to our last Model, Decision Tree shows at the normal rate of accurancy about 71.7%</w:t>
        <w:br/>
        <w:t>exactly same with our null model result. Even p-value and sensitivity are the same values as</w:t>
        <w:br/>
        <w:t>baseline result at 0.00000000000000022 and 0.6094 respectively.</w:t>
      </w:r>
    </w:p>
    <w:p>
      <w:pPr>
        <w:pStyle w:val="Normal"/>
        <w:rPr/>
      </w:pPr>
      <w:r>
        <w:rPr/>
      </w:r>
    </w:p>
    <w:p>
      <w:pPr>
        <w:pStyle w:val="Heading1"/>
        <w:numPr>
          <w:ilvl w:val="0"/>
          <w:numId w:val="2"/>
        </w:numPr>
        <w:ind w:hanging="0"/>
        <w:rPr/>
      </w:pPr>
      <w:r>
        <w:rPr/>
        <w:t>conclusion</w:t>
      </w:r>
    </w:p>
    <w:p>
      <w:pPr>
        <w:pStyle w:val="TextBody"/>
        <w:rPr>
          <w:rFonts w:eastAsia="Times New Roman"/>
          <w:lang w:eastAsia="zh-CN"/>
        </w:rPr>
      </w:pPr>
      <w:r>
        <w:rPr>
          <w:rFonts w:eastAsia="Times New Roman"/>
          <w:lang w:eastAsia="zh-CN"/>
        </w:rPr>
        <w:t>This study consists of 11 predictors at the beginning of project and after research, we come out another 2 predictors that computed from our base predictors which are BMI from</w:t>
      </w:r>
      <w:r>
        <w:rPr>
          <w:rFonts w:eastAsia="Times New Roman"/>
          <w:lang w:val="en-US" w:eastAsia="zh-CN"/>
        </w:rPr>
        <w:t xml:space="preserve"> </w:t>
      </w:r>
      <w:r>
        <w:rPr>
          <w:rFonts w:eastAsia="Times New Roman"/>
          <w:lang w:eastAsia="zh-CN"/>
        </w:rPr>
        <w:t>Height</w:t>
      </w:r>
      <w:r>
        <w:rPr>
          <w:rFonts w:eastAsia="Times New Roman"/>
          <w:lang w:val="en-US" w:eastAsia="zh-CN"/>
        </w:rPr>
        <w:t xml:space="preserve"> </w:t>
      </w:r>
      <w:r>
        <w:rPr>
          <w:rFonts w:eastAsia="Times New Roman"/>
          <w:lang w:eastAsia="zh-CN"/>
        </w:rPr>
        <w:t>and Weight</w:t>
        <w:br/>
        <w:t>and Blood Pressure Level from Systole and Diastole. These predictors are believed that useful factors to predict presence of Cardiovascular Disease (CVD) and we proven able use feature selection</w:t>
        <w:br/>
        <w:t>to identify highest correlation predictors to be considering input to our models and excluded weak predictors at the same time. After through our modeling process, we carries out 4 modeling method,</w:t>
        <w:br/>
        <w:t>the accurancy prediction of these modeling is stable at the range from 71% to 73%. and some prediction result show decreasing accurancy compared to null model, we can says that our splitting data </w:t>
        <w:br/>
        <w:t>is not overfitting at any case.</w:t>
      </w:r>
    </w:p>
    <w:p>
      <w:pPr>
        <w:pStyle w:val="TextBody"/>
        <w:rPr/>
      </w:pPr>
      <w:r>
        <w:rPr>
          <w:rFonts w:eastAsia="Times New Roman"/>
          <w:lang w:eastAsia="zh-CN"/>
        </w:rPr>
        <w:t>Hence, we can conclude that the highest accuracy that we can achieve is 73.33% and it is Super Vector Machine (SVM) Model whereas the lowest accuracy method is Logistic Regression Modeling that we have.</w:t>
        <w:br/>
        <w:t>From our dataset, we can also conclude that the best of predictor to the presence of Cardiovascular Disease (CVD) are Systole, BloodPressure, Diastole, Age, BMI, Weight, Cholesterol and Active.</w:t>
      </w:r>
    </w:p>
    <w:p>
      <w:pPr>
        <w:pStyle w:val="Normal"/>
        <w:rPr/>
      </w:pPr>
      <w:r>
        <w:rPr/>
      </w:r>
    </w:p>
    <w:p>
      <w:pPr>
        <w:pStyle w:val="Heading1"/>
        <w:numPr>
          <w:ilvl w:val="0"/>
          <w:numId w:val="2"/>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2"/>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2"/>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2"/>
        </w:numPr>
        <w:ind w:firstLine="288"/>
        <w:rPr/>
      </w:pPr>
      <w:r>
        <w:rPr/>
        <w:t xml:space="preserve">For papers with less than six authors: </w:t>
      </w:r>
      <w:r>
        <w:rPr>
          <w:i w:val="false"/>
        </w:rPr>
        <w:t>To change the default, adjust the template as follows.</w:t>
      </w:r>
    </w:p>
    <w:p>
      <w:pPr>
        <w:pStyle w:val="Heading4"/>
        <w:numPr>
          <w:ilvl w:val="3"/>
          <w:numId w:val="2"/>
        </w:numPr>
        <w:ind w:firstLine="504"/>
        <w:rPr/>
      </w:pPr>
      <w:r>
        <w:rPr/>
        <w:t xml:space="preserve">Selection: </w:t>
      </w:r>
      <w:r>
        <w:rPr>
          <w:i w:val="false"/>
        </w:rPr>
        <w:t>Highlight all author and affiliation lines.</w:t>
      </w:r>
    </w:p>
    <w:p>
      <w:pPr>
        <w:pStyle w:val="Heading4"/>
        <w:numPr>
          <w:ilvl w:val="3"/>
          <w:numId w:val="2"/>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2"/>
        </w:numPr>
        <w:ind w:firstLine="504"/>
        <w:rPr>
          <w:i w:val="false"/>
          <w:i w:val="false"/>
        </w:rPr>
      </w:pPr>
      <w:r>
        <w:rPr/>
        <w:t xml:space="preserve">Deletion: </w:t>
      </w:r>
      <w:r>
        <w:rPr>
          <w:i w:val="false"/>
        </w:rPr>
        <w:t>Delete the author and affiliation lines for the extra authors.</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3"/>
        </w:numPr>
        <w:ind w:left="354" w:hanging="354"/>
        <w:rPr>
          <w:sz w:val="12"/>
        </w:rPr>
      </w:pPr>
      <w:r>
        <w:rPr>
          <w:color w:val="000000"/>
          <w:szCs w:val="20"/>
          <w:shd w:fill="FFFFFF" w:val="clear"/>
        </w:rPr>
        <w:t>Global atlas on cardiovascular disease prevention and control. (2011). [ebook] WHO; World Heart Federation; World Stroke Organization. Available at: https://www.who.int/cardiovascular_diseases/publications/atlas_cvd/en/ [Accessed 1 Dec. 2019].</w:t>
      </w:r>
    </w:p>
    <w:p>
      <w:pPr>
        <w:pStyle w:val="References"/>
        <w:numPr>
          <w:ilvl w:val="0"/>
          <w:numId w:val="3"/>
        </w:numPr>
        <w:ind w:left="354" w:hanging="354"/>
        <w:rPr>
          <w:sz w:val="12"/>
        </w:rPr>
      </w:pPr>
      <w:r>
        <w:rPr>
          <w:color w:val="000000"/>
          <w:szCs w:val="20"/>
          <w:shd w:fill="FFFFFF" w:val="clear"/>
        </w:rPr>
        <w:t>The Star Online. (2019). </w:t>
      </w:r>
      <w:r>
        <w:rPr>
          <w:i/>
          <w:iCs/>
          <w:color w:val="000000"/>
          <w:szCs w:val="20"/>
          <w:shd w:fill="FFFFFF" w:val="clear"/>
        </w:rPr>
        <w:t>Heart disease ‘leading cause of death’</w:t>
      </w:r>
      <w:r>
        <w:rPr>
          <w:color w:val="000000"/>
          <w:szCs w:val="20"/>
          <w:shd w:fill="FFFFFF" w:val="clear"/>
        </w:rPr>
        <w:t>. [online] Available at: https://www.thestar.com.my/news/nation/2019/01/25/heart-disease-leading-cause-of-death [Accessed 1 Dec. 2019].</w:t>
      </w:r>
    </w:p>
    <w:p>
      <w:pPr>
        <w:pStyle w:val="References"/>
        <w:numPr>
          <w:ilvl w:val="0"/>
          <w:numId w:val="3"/>
        </w:numPr>
        <w:ind w:left="354" w:hanging="354"/>
        <w:rPr/>
      </w:pPr>
      <w:r>
        <w:rPr>
          <w:rStyle w:val="Italic"/>
          <w:shd w:fill="FFFFFF" w:val="clear"/>
        </w:rPr>
        <w:t>BMJ</w:t>
      </w:r>
      <w:r>
        <w:rPr>
          <w:shd w:fill="FFFFFF" w:val="clear"/>
        </w:rPr>
        <w:t> 2016;353:i2416</w:t>
      </w:r>
    </w:p>
    <w:p>
      <w:pPr>
        <w:pStyle w:val="References"/>
        <w:numPr>
          <w:ilvl w:val="0"/>
          <w:numId w:val="3"/>
        </w:numPr>
        <w:ind w:left="354" w:hanging="354"/>
        <w:rPr/>
      </w:pPr>
      <w:r>
        <w:rPr>
          <w:lang w:eastAsia="zh-CN"/>
        </w:rPr>
        <w:t xml:space="preserve">PMID: 25775317 </w:t>
      </w:r>
      <w:r>
        <w:rPr>
          <w:rFonts w:eastAsia="Times New Roman"/>
          <w:shd w:fill="FFFFFF" w:val="clear"/>
          <w:lang w:eastAsia="zh-CN"/>
        </w:rPr>
        <w:t> </w:t>
      </w:r>
      <w:r>
        <w:rPr>
          <w:rFonts w:eastAsia="Times New Roman"/>
          <w:lang w:eastAsia="zh-CN"/>
        </w:rPr>
        <w:t>DOI:</w:t>
      </w:r>
      <w:hyperlink r:id="rId38" w:tgtFrame="_blank">
        <w:r>
          <w:rPr>
            <w:rStyle w:val="ListLabel77"/>
            <w:rFonts w:eastAsia="Times New Roman"/>
            <w:lang w:eastAsia="zh-CN"/>
          </w:rPr>
          <w:t>10.7326/M14-1225</w:t>
        </w:r>
      </w:hyperlink>
    </w:p>
    <w:p>
      <w:pPr>
        <w:pStyle w:val="References"/>
        <w:numPr>
          <w:ilvl w:val="0"/>
          <w:numId w:val="3"/>
        </w:numPr>
        <w:rPr>
          <w:sz w:val="10"/>
          <w:lang w:eastAsia="zh-CN"/>
        </w:rPr>
      </w:pPr>
      <w:r>
        <w:rPr>
          <w:szCs w:val="21"/>
          <w:shd w:fill="FFFFFF" w:val="clear"/>
        </w:rPr>
        <w:t>Wang, T.J., Gona, P.N., Larson, M.G., Tofler, G.H., Levy, D., Newton‐Cheh, C., Jacques, P.F., Rifai, N., Selhub, J., Robins, S.J., Benjamin, E.J., D'Agostino, R.B., &amp; Vasan, R.S. (2006). Multiple biomarkers for the prediction of first major cardiovascular events and death.</w:t>
      </w:r>
    </w:p>
    <w:p>
      <w:pPr>
        <w:pStyle w:val="References"/>
        <w:numPr>
          <w:ilvl w:val="0"/>
          <w:numId w:val="3"/>
        </w:numPr>
        <w:rPr/>
      </w:pPr>
      <w:r>
        <w:rPr/>
        <w:t>Lloyd-Jones, D.M., Leip, E.P., Larson, M.G., d’Agostino, R.B., Beiser, A., Wilson, P.W., Wolf, P.A. and Levy, D., 2006. Prediction of lifetime risk for cardiovascular disease by risk factor burden at 50 years of age. Circulation, 113(6), pp.791-798.</w:t>
      </w:r>
    </w:p>
    <w:p>
      <w:pPr>
        <w:pStyle w:val="References"/>
        <w:numPr>
          <w:ilvl w:val="0"/>
          <w:numId w:val="3"/>
        </w:numPr>
        <w:rPr/>
      </w:pPr>
      <w:r>
        <w:rPr/>
        <w:t>Wang, T.J., Gona, P., Larson, M.G., Tofler, G.H., Levy, D., Newton-Cheh, C., Jacques, P.F., Rifai, N., Selhub, J., Robins, S.J. and Benjamin, E.J., 2006. Multiple biomarkers for the prediction of first major cardiovascular events and death. New England Journal of Medicine, 355(25), pp.2631-2639.</w:t>
      </w:r>
    </w:p>
    <w:p>
      <w:pPr>
        <w:pStyle w:val="References"/>
        <w:numPr>
          <w:ilvl w:val="0"/>
          <w:numId w:val="3"/>
        </w:numPr>
        <w:rPr/>
      </w:pPr>
      <w:r>
        <w:rPr/>
        <w:t>Weng, S.F., Reps, J., Kai, J., Garibaldi, J.M. and Qureshi, N., 2017. Can machine-learning improve cardiovascular risk prediction using routine clinical data?. PloS one, 12(4), p.e0174944.</w:t>
      </w:r>
    </w:p>
    <w:p>
      <w:pPr>
        <w:pStyle w:val="References"/>
        <w:numPr>
          <w:ilvl w:val="0"/>
          <w:numId w:val="3"/>
        </w:numPr>
        <w:rPr/>
      </w:pPr>
      <w:r>
        <w:rPr/>
        <w:t>Muthuvel, Marimuthu &amp; Abinaya, M &amp; Hariesh, K &amp; Madhankumar, K &amp; Pavithra, V. (2018). A Review on Heart Disease Prediction using Machine Learning and Data Analytics Approach. International Journal of Computer Applications.</w:t>
      </w:r>
    </w:p>
    <w:p>
      <w:pPr>
        <w:pStyle w:val="References"/>
        <w:numPr>
          <w:ilvl w:val="0"/>
          <w:numId w:val="3"/>
        </w:numPr>
        <w:rPr/>
      </w:pPr>
      <w:r>
        <w:rPr/>
        <w:t>Jaymin Patel, Prof. Tejal Upadhyay, Dr.Samir Patel,“Heart Disease Prediction using Machine Learning and Data Mining Technique”, International Journal of Computer Science and Communication, September 2015-March 2016, pp.129-137.</w:t>
      </w:r>
    </w:p>
    <w:p>
      <w:pPr>
        <w:pStyle w:val="References"/>
        <w:numPr>
          <w:ilvl w:val="0"/>
          <w:numId w:val="3"/>
        </w:numPr>
        <w:rPr/>
      </w:pPr>
      <w:r>
        <w:rP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pPr>
        <w:pStyle w:val="References"/>
        <w:numPr>
          <w:ilvl w:val="0"/>
          <w:numId w:val="3"/>
        </w:numPr>
        <w:rPr>
          <w:sz w:val="10"/>
          <w:lang w:eastAsia="zh-CN"/>
        </w:rPr>
      </w:pPr>
      <w:r>
        <w:rPr>
          <w:sz w:val="10"/>
          <w:lang w:eastAsia="zh-CN"/>
        </w:rPr>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0"/>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talic" w:customStyle="1">
    <w:name w:val="italic"/>
    <w:basedOn w:val="DefaultParagraphFont"/>
    <w:qFormat/>
    <w:rsid w:val="005653b4"/>
    <w:rPr/>
  </w:style>
  <w:style w:type="character" w:styleId="InternetLink">
    <w:name w:val="Internet Link"/>
    <w:basedOn w:val="DefaultParagraphFont"/>
    <w:uiPriority w:val="99"/>
    <w:unhideWhenUsed/>
    <w:rsid w:val="005653b4"/>
    <w:rPr>
      <w:color w:val="0000FF"/>
      <w:u w:val="single"/>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Times New Roman"/>
      <w:b w:val="false"/>
      <w:bCs w:val="false"/>
      <w:i w:val="false"/>
      <w:iCs w:val="false"/>
      <w:sz w:val="12"/>
      <w:szCs w:val="16"/>
    </w:rPr>
  </w:style>
  <w:style w:type="character" w:styleId="ListLabel77">
    <w:name w:val="ListLabel 77"/>
    <w:qFormat/>
    <w:rPr>
      <w:rFonts w:eastAsia="Times New Roman"/>
      <w:lang w:eastAsia="zh-CN"/>
    </w:rPr>
  </w:style>
  <w:style w:type="character" w:styleId="ListLabel78">
    <w:name w:val="ListLabel 78"/>
    <w:qFormat/>
    <w:rPr>
      <w:rFonts w:cs="Times New Roman"/>
      <w:caps w:val="false"/>
      <w:smallCaps w:val="false"/>
      <w:strike w:val="false"/>
      <w:dstrike w:val="false"/>
      <w:vanish w:val="false"/>
      <w:color w:val="auto"/>
      <w:position w:val="0"/>
      <w:sz w:val="20"/>
      <w:sz w:val="20"/>
      <w:szCs w:val="20"/>
      <w:vertAlign w:val="baseline"/>
    </w:rPr>
  </w:style>
  <w:style w:type="character" w:styleId="ListLabel79">
    <w:name w:val="ListLabel 7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0">
    <w:name w:val="ListLabel 8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1">
    <w:name w:val="ListLabel 81"/>
    <w:qFormat/>
    <w:rPr>
      <w:rFonts w:cs="Times New Roman"/>
      <w:b w:val="false"/>
      <w:bCs w:val="false"/>
      <w:i/>
      <w:iCs/>
      <w:sz w:val="20"/>
      <w:szCs w:val="20"/>
    </w:rPr>
  </w:style>
  <w:style w:type="character" w:styleId="ListLabel82">
    <w:name w:val="ListLabel 82"/>
    <w:qFormat/>
    <w:rPr>
      <w:rFonts w:cs="Times New Roman"/>
      <w:caps w:val="false"/>
      <w:smallCaps w:val="false"/>
      <w:strike w:val="false"/>
      <w:dstrike w:val="false"/>
      <w:vanish w:val="false"/>
      <w:color w:val="auto"/>
      <w:position w:val="0"/>
      <w:sz w:val="20"/>
      <w:sz w:val="20"/>
      <w:szCs w:val="20"/>
      <w:vertAlign w:val="baseline"/>
    </w:rPr>
  </w:style>
  <w:style w:type="character" w:styleId="ListLabel83">
    <w:name w:val="ListLabel 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4">
    <w:name w:val="ListLabel 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5">
    <w:name w:val="ListLabel 85"/>
    <w:qFormat/>
    <w:rPr>
      <w:rFonts w:cs="Times New Roman"/>
      <w:b w:val="false"/>
      <w:bCs w:val="false"/>
      <w:i/>
      <w:iCs/>
      <w:sz w:val="20"/>
      <w:szCs w:val="20"/>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b w:val="false"/>
      <w:bCs w:val="false"/>
      <w:i w:val="false"/>
      <w:iCs w:val="false"/>
      <w:sz w:val="10"/>
      <w:szCs w:val="16"/>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eastAsia="Times New Roman"/>
      <w:lang w:eastAsia="zh-CN"/>
    </w:rPr>
  </w:style>
  <w:style w:type="character" w:styleId="ListLabel111">
    <w:name w:val="ListLabel 111"/>
    <w:qFormat/>
    <w:rPr>
      <w:rFonts w:cs="Times New Roman"/>
      <w:caps w:val="false"/>
      <w:smallCaps w:val="false"/>
      <w:strike w:val="false"/>
      <w:dstrike w:val="false"/>
      <w:vanish w:val="false"/>
      <w:color w:val="auto"/>
      <w:position w:val="0"/>
      <w:sz w:val="20"/>
      <w:sz w:val="20"/>
      <w:szCs w:val="20"/>
      <w:vertAlign w:val="baseline"/>
    </w:rPr>
  </w:style>
  <w:style w:type="character" w:styleId="ListLabel112">
    <w:name w:val="ListLabel 11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3">
    <w:name w:val="ListLabel 1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4">
    <w:name w:val="ListLabel 114"/>
    <w:qFormat/>
    <w:rPr>
      <w:rFonts w:cs="Times New Roman"/>
      <w:b w:val="false"/>
      <w:bCs w:val="false"/>
      <w:i/>
      <w:iCs/>
      <w:sz w:val="20"/>
      <w:szCs w:val="20"/>
    </w:rPr>
  </w:style>
  <w:style w:type="character" w:styleId="ListLabel115">
    <w:name w:val="ListLabel 115"/>
    <w:qFormat/>
    <w:rPr>
      <w:rFonts w:cs="Times New Roman"/>
      <w:caps w:val="false"/>
      <w:smallCaps w:val="false"/>
      <w:strike w:val="false"/>
      <w:dstrike w:val="false"/>
      <w:vanish w:val="false"/>
      <w:color w:val="auto"/>
      <w:position w:val="0"/>
      <w:sz w:val="20"/>
      <w:sz w:val="20"/>
      <w:szCs w:val="20"/>
      <w:vertAlign w:val="baseline"/>
    </w:rPr>
  </w:style>
  <w:style w:type="character" w:styleId="ListLabel116">
    <w:name w:val="ListLabel 1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7">
    <w:name w:val="ListLabel 1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8">
    <w:name w:val="ListLabel 118"/>
    <w:qFormat/>
    <w:rPr>
      <w:rFonts w:cs="Times New Roman"/>
      <w:b w:val="false"/>
      <w:bCs w:val="false"/>
      <w:i/>
      <w:iCs/>
      <w:sz w:val="20"/>
      <w:szCs w:val="20"/>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b w:val="false"/>
      <w:bCs w:val="false"/>
      <w:i w:val="false"/>
      <w:iCs w:val="false"/>
      <w:sz w:val="10"/>
      <w:szCs w:val="16"/>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eastAsia="Times New Roman"/>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ListParagraph">
    <w:name w:val="List Paragraph"/>
    <w:basedOn w:val="Normal"/>
    <w:uiPriority w:val="34"/>
    <w:qFormat/>
    <w:rsid w:val="008a577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2269b2"/>
    <w:rPr>
      <w:rFonts w:asciiTheme="minorHAnsi" w:hAnsiTheme="minorHAnsi" w:eastAsiaTheme="minorHAnsi" w:cstheme="minorBidi"/>
      <w:lang w:val="en-MY"/>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hyperlink" Target="https://doi.org/10.7326/M14-1225"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A8A14A-AAF2-4737-8884-EF4B5674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10</Pages>
  <Words>4398</Words>
  <Characters>23742</Characters>
  <CharactersWithSpaces>27827</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cp:keywords>CTPClassification=CTP_NT</cp:keywords>
  <dc:language>en-US</dc:language>
  <cp:lastModifiedBy/>
  <dcterms:modified xsi:type="dcterms:W3CDTF">2019-12-03T17:13:15Z</dcterms:modified>
  <cp:revision>47</cp:revision>
  <dc:subject/>
  <dc:title>Paper Title (use style: paper title)</dc:title>
</cp:coreProperties>
</file>