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Client Onboarding SOP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Ensure every new client is fully set up across all systems within the first week, with no gaps in access, communication, or reporting cadence.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 new client signs an engagement with HRI or BlitzMetrics</w:t>
      </w:r>
    </w:p>
    <w:p>
      <w:pPr>
        <w:pStyle w:val="ListBullet"/>
      </w:pPr>
      <w:r>
        <w:t>A client re-engages after a pause and needs systems re-provisioned</w:t>
      </w:r>
    </w:p>
    <w:p>
      <w:pPr>
        <w:pStyle w:val="ListBullet"/>
      </w:pPr>
      <w:r>
        <w:t>Transitioning a prospect to active client status after payment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pStyle w:val="ListNumber"/>
      </w:pPr>
      <w:r/>
      <w:r>
        <w:rPr>
          <w:b/>
        </w:rPr>
        <w:t>Have the client fill out the GCT (Goal, Content, Targeting) form.</w:t>
      </w:r>
      <w:r>
        <w:t xml:space="preserve"> This captures their business goals, existing content assets, and target audience. Do not proceed until GCT is complete — it drives everything downstream.</w:t>
      </w:r>
    </w:p>
    <w:p>
      <w:pPr>
        <w:pStyle w:val="ListNumber"/>
      </w:pPr>
      <w:r/>
      <w:r>
        <w:rPr>
          <w:b/>
        </w:rPr>
        <w:t>Set up access permissions via `blitzmetrics.com/acl`.</w:t>
      </w:r>
      <w:r>
        <w:t xml:space="preserve"> Grant team members appropriate access to the client's ad accounts, analytics, social pages, and any other platforms. Document all access in the Basecamp Access thread (Step 4).</w:t>
      </w:r>
    </w:p>
    <w:p>
      <w:pPr>
        <w:pStyle w:val="ListNumber"/>
      </w:pPr>
      <w:r/>
      <w:r>
        <w:rPr>
          <w:b/>
        </w:rPr>
        <w:t>Create a shared Google Drive folder.</w:t>
      </w:r>
      <w:r>
        <w:t xml:space="preserve"> Follow the process at </w:t>
      </w:r>
      <w:r>
        <w:rPr>
          <w:rFonts w:ascii="Courier New" w:hAnsi="Courier New"/>
          <w:color w:val="880000"/>
          <w:sz w:val="20"/>
        </w:rPr>
        <w:t>blitzmetrics.com/share</w:t>
      </w:r>
      <w:r>
        <w:t>. Structure the folder with subfolders for: Content, Analytics, Creative Assets, Reports. Share with the client and all assigned team members.</w:t>
      </w:r>
    </w:p>
    <w:p>
      <w:pPr>
        <w:pStyle w:val="ListNumber"/>
      </w:pPr>
      <w:r/>
      <w:r>
        <w:rPr>
          <w:b/>
        </w:rPr>
        <w:t>Create a Basecamp project with standard threads:</w:t>
      </w:r>
      <w:r/>
    </w:p>
    <w:p>
      <w:pPr>
        <w:ind w:left="1080"/>
      </w:pPr>
      <w:r>
        <w:t xml:space="preserve">a. </w:t>
      </w:r>
      <w:r>
        <w:rPr>
          <w:b/>
        </w:rPr>
        <w:t>Updates</w:t>
      </w:r>
      <w:r>
        <w:t xml:space="preserve"> — Client-visible. Weekly MAA reports go here.</w:t>
      </w:r>
    </w:p>
    <w:p>
      <w:pPr>
        <w:ind w:left="1080"/>
      </w:pPr>
      <w:r>
        <w:t xml:space="preserve">b. </w:t>
      </w:r>
      <w:r>
        <w:rPr>
          <w:b/>
        </w:rPr>
        <w:t>Access</w:t>
      </w:r>
      <w:r>
        <w:t xml:space="preserve"> — Client-visible. All login credentials, permissions, and platform access documented here.</w:t>
      </w:r>
    </w:p>
    <w:p>
      <w:pPr>
        <w:ind w:left="1080"/>
      </w:pPr>
      <w:r>
        <w:t xml:space="preserve">c. </w:t>
      </w:r>
      <w:r>
        <w:rPr>
          <w:b/>
        </w:rPr>
        <w:t>Meetings</w:t>
      </w:r>
      <w:r>
        <w:t xml:space="preserve"> — Client-visible. Meeting notes, agendas, and recordings.</w:t>
      </w:r>
    </w:p>
    <w:p>
      <w:pPr>
        <w:ind w:left="1080"/>
      </w:pPr>
      <w:r>
        <w:t xml:space="preserve">d. </w:t>
      </w:r>
      <w:r>
        <w:rPr>
          <w:b/>
        </w:rPr>
        <w:t>Internal</w:t>
      </w:r>
      <w:r>
        <w:t xml:space="preserve"> — Team-only. Strategy discussions, internal notes, escalations. </w:t>
      </w:r>
      <w:r>
        <w:rPr>
          <w:b/>
        </w:rPr>
        <w:t>Do not invite the client to this thread.</w:t>
      </w:r>
      <w:r/>
    </w:p>
    <w:p>
      <w:pPr>
        <w:ind w:left="1080"/>
      </w:pPr>
      <w:r>
        <w:t>e. Invite the client to the Basecamp project. Confirm they can see Updates, Access, and Meetings threads.</w:t>
      </w:r>
    </w:p>
    <w:p>
      <w:pPr>
        <w:pStyle w:val="ListNumber"/>
      </w:pPr>
      <w:r/>
      <w:r>
        <w:rPr>
          <w:b/>
        </w:rPr>
        <w:t>Run an initial SEO/YouTube/content inventory analysis.</w:t>
      </w:r>
      <w:r>
        <w:t xml:space="preserve"> Audit current rankings, YouTube channel performance (if applicable), existing content library, and social presence. Document findings in the Internal thread and summarize key points for the client in Updates.</w:t>
      </w:r>
    </w:p>
    <w:p>
      <w:pPr>
        <w:pStyle w:val="ListNumber"/>
      </w:pPr>
      <w:r/>
      <w:r>
        <w:rPr>
          <w:b/>
        </w:rPr>
        <w:t>Set up the weekly MAA cadence.</w:t>
      </w:r>
      <w:r>
        <w:t xml:space="preserve"> MAA reports are due every </w:t>
      </w:r>
      <w:r>
        <w:rPr>
          <w:b/>
        </w:rPr>
        <w:t>Friday</w:t>
      </w:r>
      <w:r>
        <w:t xml:space="preserve">. Add a recurring reminder. See </w:t>
      </w:r>
      <w:r>
        <w:rPr>
          <w:rFonts w:ascii="Courier New" w:hAnsi="Courier New"/>
          <w:color w:val="880000"/>
          <w:sz w:val="20"/>
        </w:rPr>
        <w:t>~/Documents/Claude/Mainframe/sops/client-work/weekly-maa-report.md</w:t>
      </w:r>
      <w:r>
        <w:t xml:space="preserve"> for MAA format.</w:t>
      </w:r>
    </w:p>
    <w:p>
      <w:pPr>
        <w:pStyle w:val="ListNumber"/>
      </w:pPr>
      <w:r/>
      <w:r>
        <w:rPr>
          <w:b/>
        </w:rPr>
        <w:t>Deliver the first MAA report within 1 week of onboarding.</w:t>
      </w:r>
      <w:r>
        <w:t xml:space="preserve"> This establishes the reporting rhythm immediately and sets expectations. Do not let the first week pass without a report — even if it is primarily baseline metrics.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>☐ All platform access granted and documented in Access thread</w:t>
      </w:r>
    </w:p>
    <w:p>
      <w:pPr>
        <w:pStyle w:val="ListBullet"/>
        <w:ind w:left="720"/>
      </w:pPr>
      <w:r>
        <w:t>☐ Google Drive folder created, structured, and shared with client + team</w:t>
      </w:r>
    </w:p>
    <w:p>
      <w:pPr>
        <w:pStyle w:val="ListBullet"/>
        <w:ind w:left="720"/>
      </w:pPr>
      <w:r>
        <w:t>☐ Basecamp project created with all 4 threads (Updates, Access, Meetings, Internal)</w:t>
      </w:r>
    </w:p>
    <w:p>
      <w:pPr>
        <w:pStyle w:val="ListBullet"/>
        <w:ind w:left="720"/>
      </w:pPr>
      <w:r>
        <w:t>☐ Client invited to Basecamp and confirmed visible on client-facing threads</w:t>
      </w:r>
    </w:p>
    <w:p>
      <w:pPr>
        <w:pStyle w:val="ListBullet"/>
        <w:ind w:left="720"/>
      </w:pPr>
      <w:r>
        <w:t>☐ Initial analysis complete and posted to Internal thread</w:t>
      </w:r>
    </w:p>
    <w:p>
      <w:pPr>
        <w:pStyle w:val="ListBullet"/>
        <w:ind w:left="720"/>
      </w:pPr>
      <w:r>
        <w:t>☐ MAA cadence set (Fridays) and first MAA delivered within 1 week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Forgetting the Internal thread.</w:t>
      </w:r>
      <w:r>
        <w:t xml:space="preserve"> Every Basecamp project needs a team-only Internal thread. If you skip it, sensitive strategy discussions end up in client-visible threads or get lost in Slack/DMs.</w:t>
      </w:r>
    </w:p>
    <w:p>
      <w:pPr>
        <w:pStyle w:val="ListBullet"/>
      </w:pPr>
      <w:r/>
      <w:r>
        <w:rPr>
          <w:b/>
        </w:rPr>
        <w:t>Not setting the MAA cadence from day 1.</w:t>
      </w:r>
      <w:r>
        <w:t xml:space="preserve"> If you wait until "things settle in" to start reporting, weeks slip. Set the Friday cadence during onboarding and deliver the first MAA within 7 days.</w:t>
      </w:r>
    </w:p>
    <w:p>
      <w:pPr>
        <w:pStyle w:val="ListBullet"/>
      </w:pPr>
      <w:r/>
      <w:r>
        <w:rPr>
          <w:b/>
        </w:rPr>
        <w:t>Client chasing for updates.</w:t>
      </w:r>
      <w:r>
        <w:t xml:space="preserve"> If the client has to ask "what's happening?" you've already failed. The Ryan D. Lee lesson: proactive communication prevents client anxiety. Post updates before they ask.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02-content-factory-process.md (Stage 0: Plumbing) — client onboarding IS the plumbing stage: setting up access, systems, and reporting before any content production begins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GCT (first step) — the GCT form IS Step 1 of the process, capturing Goals, Content inventory, and Targeting before anything else; CID — the entire process is Communicate (Basecamp threads, welcome emails), Iterate (initial analysis feeds first MAA), Delegate (access permissions, team assignments)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Client fills out GCT form personally; team access permissions verified by human; client invited to Basecamp and confirmed visible; first MAA delivered and reviewed within 1 week</w:t>
      </w:r>
    </w:p>
    <w:p>
      <w:pPr>
        <w:pStyle w:val="ListBullet"/>
      </w:pPr>
      <w:r/>
      <w:r>
        <w:rPr>
          <w:b/>
        </w:rPr>
        <w:t>Anti-vandalism:</w:t>
      </w:r>
      <w:r>
        <w:t xml:space="preserve"> GCT form gates all downstream work (no form = no progress); Internal thread separated from client-visible threads prevents accidental exposure; MAA cadence set from Day 1 prevents reporting gaps; proactive communication prevents client anxiety (Ryan D. Lee lesson)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>
        <w:t>*2026-03-18* — SOP created based on HRI/BlitzMetrics onboarding patterns and documented lessons from Ryan D. Lee engagement.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