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4E79"/>
          <w:sz w:val="56"/>
        </w:rPr>
        <w:t>VALESCO</w:t>
      </w:r>
    </w:p>
    <w:p>
      <w:pPr>
        <w:jc w:val="center"/>
      </w:pPr>
      <w:r>
        <w:rPr>
          <w:b/>
          <w:color w:val="1F4E79"/>
          <w:sz w:val="40"/>
        </w:rPr>
        <w:t>North Star and Roadmap</w:t>
      </w:r>
    </w:p>
    <w:p>
      <w:pPr>
        <w:jc w:val="center"/>
      </w:pPr>
      <w:r>
        <w:t>From reconciled MVP foundation to BOQ-first estimating workbench</w:t>
      </w:r>
    </w:p>
    <w:tbl>
      <w:tblPr>
        <w:tblW w:type="auto" w:w="0"/>
        <w:jc w:val="center"/>
        <w:tblLook w:firstColumn="1" w:firstRow="1" w:lastColumn="0" w:lastRow="0" w:noHBand="0" w:noVBand="1" w:val="04A0"/>
      </w:tblPr>
      <w:tblGrid>
        <w:gridCol w:w="10224"/>
      </w:tblGrid>
      <w:tr>
        <w:tc>
          <w:tcPr>
            <w:tcW w:type="dxa" w:w="10224"/>
            <w:shd w:fill="EAF2F8"/>
            <w:tcBorders>
              <w:top w:sz="8" w:val="single" w:color="5B9BD5"/>
              <w:left w:sz="8" w:val="single" w:color="5B9BD5"/>
              <w:bottom w:sz="8" w:val="single" w:color="5B9BD5"/>
              <w:right w:sz="8" w:val="single" w:color="5B9BD5"/>
            </w:tcBorders>
          </w:tcPr>
          <w:p>
            <w:pPr>
              <w:spacing w:after="80"/>
            </w:pPr>
            <w:r>
              <w:rPr>
                <w:b/>
                <w:color w:val="1F4E79"/>
                <w:sz w:val="20"/>
              </w:rPr>
              <w:t>Anchor statement</w:t>
            </w:r>
          </w:p>
          <w:p>
            <w:pPr>
              <w:spacing w:after="0"/>
            </w:pPr>
            <w:r>
              <w:rPr>
                <w:sz w:val="18"/>
              </w:rPr>
              <w:t>VALESCO should become the governed estimating engine that estimators, Excel workflows and AI agents can safely use. AI may assist, but deterministic data, validation, rate authority, estimator approval and traceability remain the system of record.</w:t>
            </w:r>
          </w:p>
        </w:tc>
      </w:tr>
    </w:tbl>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Field</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Position</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Current baseline</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main at v3.7.11-runtime-reconciled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Current authority</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governance/SNAPSHOT v3.7.11.txt</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Stable tag</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v3.7.11-runtime-reconciled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Purpose of this document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North Star, product direction and delivery roadmap from the current settled state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Status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Planning anchor - not a governance snapshot and not a code change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Prepared date</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2026-07-02</w:t>
            </w:r>
          </w:p>
        </w:tc>
      </w:tr>
    </w:tbl>
    <w:p>
      <w:r>
        <w:t>Terminology note: this document uses VALESCO for the AI development repository and estimating engine. The existing Valesco/Excel pricing workflow means the current operational process where client Bills of Quantities are reviewed, resourced and priced for return to clients. Phase 2 is BOQ-first: client-provided Excel BOQs are the first priority; VALESCO-created BOQs come later.</w:t>
      </w:r>
    </w:p>
    <w:p>
      <w:r>
        <w:rPr>
          <w:sz w:val="19"/>
        </w:rPr>
        <w:br w:type="page"/>
      </w:r>
    </w:p>
    <w:p>
      <w:pPr>
        <w:pStyle w:val="Heading1"/>
      </w:pPr>
      <w:r>
        <w:t>1. Executive summary</w:t>
      </w:r>
    </w:p>
    <w:p>
      <w:r>
        <w:rPr>
          <w:sz w:val="19"/>
        </w:rPr>
        <w:t>VALESCO began as an AI-assisted senior estimator concept and has evolved into a deterministic, governed estimating MVP. The current state is no longer an unclear experimental codebase. It is a stable foundation with protected main, a current snapshot, a tagged recovery point and a documented runtime phase model.</w:t>
      </w:r>
    </w:p>
    <w:tbl>
      <w:tblPr>
        <w:tblW w:type="auto" w:w="0"/>
        <w:jc w:val="center"/>
        <w:tblLook w:firstColumn="1" w:firstRow="1" w:lastColumn="0" w:lastRow="0" w:noHBand="0" w:noVBand="1" w:val="04A0"/>
      </w:tblPr>
      <w:tblGrid>
        <w:gridCol w:w="10224"/>
      </w:tblGrid>
      <w:tr>
        <w:tc>
          <w:tcPr>
            <w:tcW w:type="dxa" w:w="10224"/>
            <w:shd w:fill="F2F6FA"/>
            <w:tcBorders>
              <w:top w:sz="8" w:val="single" w:color="5B9BD5"/>
              <w:left w:sz="8" w:val="single" w:color="5B9BD5"/>
              <w:bottom w:sz="8" w:val="single" w:color="5B9BD5"/>
              <w:right w:sz="8" w:val="single" w:color="5B9BD5"/>
            </w:tcBorders>
          </w:tcPr>
          <w:p>
            <w:pPr>
              <w:spacing w:after="80"/>
            </w:pPr>
            <w:r>
              <w:rPr>
                <w:b/>
                <w:color w:val="1F4E79"/>
                <w:sz w:val="20"/>
              </w:rPr>
              <w:t>Core product direction</w:t>
            </w:r>
          </w:p>
          <w:p>
            <w:pPr>
              <w:spacing w:after="0"/>
            </w:pPr>
            <w:r>
              <w:rPr>
                <w:sz w:val="18"/>
              </w:rPr>
              <w:t>Do not build a general chatbot. Build a governed estimating engine that can receive a client BOQ or help create a BOQ, allocate resources, apply controlled rates, produce traceable prices and provide AI-assisted explanations only within governed boundaries.</w:t>
            </w:r>
          </w:p>
        </w:tc>
      </w:tr>
    </w:tbl>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Question</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Answer</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What is VALESCO?</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 governed estimating engine intended to support deterministic item resolution, resource allocation, pricing and Excel-ready outputs.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What is its current status?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Stable governed MVP foundation. Runtime boundaries are reconciled. Documentation is corrected. Snapshot v3.7.11 is current.</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Is it production-ready?</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Not yet. It still needs a usable output contract, BOQ import/export flow, rate-library governance, and real CE backend validation before operational use.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How should it align with AI?</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Treat AI as an assistant and interface layer. VALESCO remains the authority layer for controlled data, validation, pricing and traceability.</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What is the next practical target?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An Excel-first estimator workbench that imports or creates BOQs, maps resources, applies controlled rates and returns prices with clear audit/status fields.</w:t>
            </w:r>
          </w:p>
        </w:tc>
      </w:tr>
    </w:tbl>
    <w:p>
      <w:pPr>
        <w:pStyle w:val="Heading1"/>
      </w:pPr>
      <w:r>
        <w:t>2. North Star thesis</w:t>
      </w:r>
    </w:p>
    <w:p>
      <w:r>
        <w:rPr>
          <w:sz w:val="19"/>
        </w:rPr>
        <w:t>The VALESCO thesis is that construction estimating can be accelerated by AI, but it cannot be safely delegated to uncontrolled AI judgement. Estimating needs controlled scope interpretation, traceable data, rate authority, validation, estimator approval and clear commercial accountability.</w:t>
      </w:r>
    </w:p>
    <w:p>
      <w:pPr>
        <w:pStyle w:val="ListBullet"/>
      </w:pPr>
      <w:r>
        <w:rPr>
          <w:b/>
        </w:rPr>
        <w:t xml:space="preserve">AI can assist by </w:t>
      </w:r>
      <w:r>
        <w:t>reading, summarising, drafting, classifying, questioning and helping populate structured inputs.</w:t>
      </w:r>
    </w:p>
    <w:p>
      <w:pPr>
        <w:pStyle w:val="ListBullet"/>
      </w:pPr>
      <w:r>
        <w:rPr>
          <w:b/>
        </w:rPr>
        <w:t xml:space="preserve">VALESCO must control </w:t>
      </w:r>
      <w:r>
        <w:t>item resolution, pack authority, rate authority, validation, quantity/pricing status and export readiness.</w:t>
      </w:r>
    </w:p>
    <w:p>
      <w:pPr>
        <w:pStyle w:val="ListBullet"/>
      </w:pPr>
      <w:r>
        <w:rPr>
          <w:b/>
        </w:rPr>
        <w:t xml:space="preserve">The estimator remains responsible for </w:t>
      </w:r>
      <w:r>
        <w:t>commercial judgement, tender risk, exclusions, assumptions, design responsibility, supplier input and final submission.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Principle</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Meaning for VALESCO</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Deterministic core</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The same approved inputs should produce the same controlled outputs.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Fail-closed behaviour</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Missing authority data, invalid rate paths, invalid pack state or unvalidated CE output must stop or flag the workflow.</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Excel-first usability</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The first useful product should work with estimator spreadsheets before a full UI is attempted.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Estimator approval</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The system should propose, structure and price, but an estimator must approve uncertain decisions.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Controlled pricing</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No invented rates. Pricing must come from approved rate libraries, resource build-ups or authorised allowances.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Traceability</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Every priced line should retain source description, item decision, rate source, status and warnings.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Agent-compatible</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Future ChatGPT, Claude, Codex or custom agents should call VALESCO as a tool, not replace its authority layer.</w:t>
            </w:r>
          </w:p>
        </w:tc>
      </w:tr>
    </w:tbl>
    <w:p>
      <w:pPr>
        <w:pStyle w:val="Heading1"/>
      </w:pPr>
      <w:r>
        <w:t>3. Where the project began</w:t>
      </w:r>
    </w:p>
    <w:p>
      <w:r>
        <w:rPr>
          <w:sz w:val="19"/>
        </w:rPr>
        <w:t>The project started in early GPT conversations as a senior-estimator style AI assistant. The original goal was to interpret scope descriptions, map them to internal materials and tasks, suggest relevant items, avoid hallucinations and support structured estimating workflows.</w:t>
      </w:r>
    </w:p>
    <w:p>
      <w:pPr>
        <w:pStyle w:val="Heading2"/>
      </w:pPr>
      <w:r>
        <w:t>3.1 Evolution path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Stage</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Description</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Outcome</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Concept AI assistant</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Senior estimator style interaction, interpreting descriptions and suggesting estimate content.</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Useful thesis, but too risky without hard controls.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Deterministic CE pipeline</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CE signals, Router A-E states, Architect payloads, Validator enforcement and Estimator-facing decisioning.</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Controlled missing-item system emerged.</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MVP runtime</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Merge Agent, Material Manager, quantity and pricing paths, runner scripts and tests.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Functional modules existed, but entry point and governance language became unclear.</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Governed runtime reconciliation</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READY gate, Pack Registry, pricing authority, runtime modes, documentation and snapshot reconciled.</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Current v3.7.11 stable foundation.</w:t>
            </w:r>
          </w:p>
        </w:tc>
      </w:tr>
    </w:tbl>
    <w:tbl>
      <w:tblPr>
        <w:tblW w:type="auto" w:w="0"/>
        <w:jc w:val="center"/>
        <w:tblLook w:firstColumn="1" w:firstRow="1" w:lastColumn="0" w:lastRow="0" w:noHBand="0" w:noVBand="1" w:val="04A0"/>
      </w:tblPr>
      <w:tblGrid>
        <w:gridCol w:w="10224"/>
      </w:tblGrid>
      <w:tr>
        <w:tc>
          <w:tcPr>
            <w:tcW w:type="dxa" w:w="10224"/>
            <w:shd w:fill="EAF2F8"/>
            <w:tcBorders>
              <w:top w:sz="8" w:val="single" w:color="5B9BD5"/>
              <w:left w:sz="8" w:val="single" w:color="5B9BD5"/>
              <w:bottom w:sz="8" w:val="single" w:color="5B9BD5"/>
              <w:right w:sz="8" w:val="single" w:color="5B9BD5"/>
            </w:tcBorders>
          </w:tcPr>
          <w:p>
            <w:pPr>
              <w:spacing w:after="80"/>
            </w:pPr>
            <w:r>
              <w:rPr>
                <w:b/>
                <w:color w:val="1F4E79"/>
                <w:sz w:val="20"/>
              </w:rPr>
              <w:t>Important interpretation</w:t>
            </w:r>
          </w:p>
          <w:p>
            <w:pPr>
              <w:spacing w:after="0"/>
            </w:pPr>
            <w:r>
              <w:rPr>
                <w:sz w:val="18"/>
              </w:rPr>
              <w:t>The project was not wasted or fundamentally broken. It grew useful modules faster than the authority model was documented. The recent v3.7.11 work corrected that by reconciling runtime boundaries, documentation and governance.</w:t>
            </w:r>
          </w:p>
        </w:tc>
      </w:tr>
    </w:tbl>
    <w:p>
      <w:pPr>
        <w:pStyle w:val="Heading1"/>
      </w:pPr>
      <w:r>
        <w:t>4. Current verified state</w:t>
      </w:r>
    </w:p>
    <w:p>
      <w:r>
        <w:rPr>
          <w:sz w:val="19"/>
        </w:rPr>
        <w:t>The current settled state is based on the merged sequence of PR #2, PR #3 and PR #4, followed by the tag v3.7.11-runtime-reconciled.</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Area</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Current status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Current snapshot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governance/SNAPSHOT v3.7.11.txt</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Main branch</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Protected and validated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Stable tag</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v3.7.11-runtime-reconciled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Runtime modes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Two distinct modes, documented and not merged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AI authority</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Inactive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Live CE backend</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Not proven operational</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Pricing path</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Tested through MVP runner with controlled rate-library path</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Production readiness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Not yet. Usable output, import/export, rate governance and real CE validation still required.</w:t>
            </w:r>
          </w:p>
        </w:tc>
      </w:tr>
    </w:tbl>
    <w:tbl>
      <w:tblPr>
        <w:tblStyle w:val="TableGrid"/>
        <w:tblW w:type="auto" w:w="0"/>
        <w:jc w:val="center"/>
        <w:tblLook w:firstColumn="1" w:firstRow="1" w:lastColumn="0" w:lastRow="0" w:noHBand="0" w:noVBand="1" w:val="04A0"/>
      </w:tblPr>
      <w:tblGrid>
        <w:gridCol w:w="10224"/>
      </w:tblGrid>
      <w:tr>
        <w:tc>
          <w:tcPr>
            <w:tcW w:type="dxa" w:w="10224"/>
            <w:shd w:fill="F2F6FA"/>
            <w:tcBorders>
              <w:top w:sz="4" w:val="single" w:color="D9E2F3"/>
              <w:left w:sz="4" w:val="single" w:color="D9E2F3"/>
              <w:bottom w:sz="4" w:val="single" w:color="D9E2F3"/>
              <w:right w:sz="4" w:val="single" w:color="D9E2F3"/>
            </w:tcBorders>
          </w:tcPr>
          <w:p>
            <w:pPr>
              <w:spacing w:after="0"/>
            </w:pPr>
            <w:r>
              <w:rPr>
                <w:rFonts w:ascii="Consolas" w:hAnsi="Consolas" w:eastAsia="Consolas"/>
                <w:sz w:val="18"/>
              </w:rPr>
              <w:t>Current settled runtime phase model:</w:t>
              <w:br/>
              <w:br/>
              <w:t>CE retrieval</w:t>
              <w:br/>
              <w:t>-&gt; Router</w:t>
              <w:br/>
              <w:t>-&gt; Architect</w:t>
              <w:br/>
              <w:t>-&gt; Validator</w:t>
              <w:br/>
              <w:t>-&gt; Estimator Runtime decision adapter</w:t>
              <w:br/>
              <w:t>-&gt; Merge Agent</w:t>
              <w:br/>
              <w:t>-&gt; post-merge quantity/pricing</w:t>
            </w:r>
          </w:p>
        </w:tc>
      </w:tr>
    </w:tbl>
    <w:p>
      <w:pPr>
        <w:pStyle w:val="Heading1"/>
      </w:pPr>
      <w:r>
        <w:t>5. Runtime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Runtime mode</w:t>
            </w:r>
          </w:p>
        </w:tc>
        <w:tc>
          <w:tcPr>
            <w:tcW w:type="dxa" w:w="2556"/>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Entry point</w:t>
            </w:r>
          </w:p>
        </w:tc>
        <w:tc>
          <w:tcPr>
            <w:tcW w:type="dxa" w:w="2556"/>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Role</w:t>
            </w:r>
          </w:p>
        </w:tc>
        <w:tc>
          <w:tcPr>
            <w:tcW w:type="dxa" w:w="2556"/>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Current limitation</w:t>
            </w:r>
          </w:p>
        </w:tc>
      </w:tr>
      <w:tr>
        <w:tc>
          <w:tcPr>
            <w:tcW w:type="dxa" w:w="2556"/>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Deterministic interface REPL</w:t>
            </w:r>
          </w:p>
        </w:tc>
        <w:tc>
          <w:tcPr>
            <w:tcW w:type="dxa" w:w="2556"/>
            <w:vAlign w:val="top"/>
            <w:tcBorders>
              <w:top w:sz="4" w:val="single" w:color="D9E2F3"/>
              <w:left w:sz="4" w:val="single" w:color="D9E2F3"/>
              <w:bottom w:sz="4" w:val="single" w:color="D9E2F3"/>
              <w:right w:sz="4" w:val="single" w:color="D9E2F3"/>
            </w:tcBorders>
          </w:tcPr>
          <w:p>
            <w:pPr>
              <w:spacing w:after="0"/>
            </w:pPr>
            <w:r>
              <w:rPr>
                <w:sz w:val="18"/>
              </w:rPr>
            </w:r>
            <w:r>
              <w:rPr>
                <w:b w:val="0"/>
                <w:sz w:val="18"/>
              </w:rPr>
              <w:t>bin/run_valesco_portable.bat -&gt; run_valesco.py</w:t>
            </w:r>
          </w:p>
        </w:tc>
        <w:tc>
          <w:tcPr>
            <w:tcW w:type="dxa" w:w="2556"/>
            <w:vAlign w:val="top"/>
            <w:tcBorders>
              <w:top w:sz="4" w:val="single" w:color="D9E2F3"/>
              <w:left w:sz="4" w:val="single" w:color="D9E2F3"/>
              <w:bottom w:sz="4" w:val="single" w:color="D9E2F3"/>
              <w:right w:sz="4" w:val="single" w:color="D9E2F3"/>
            </w:tcBorders>
          </w:tcPr>
          <w:p>
            <w:pPr>
              <w:spacing w:after="0"/>
            </w:pPr>
            <w:r>
              <w:rPr>
                <w:sz w:val="18"/>
              </w:rPr>
            </w:r>
            <w:r>
              <w:rPr>
                <w:b w:val="0"/>
                <w:sz w:val="18"/>
              </w:rPr>
              <w:t>User-facing deterministic runtime using mock/static CE retrieval.</w:t>
            </w:r>
          </w:p>
        </w:tc>
        <w:tc>
          <w:tcPr>
            <w:tcW w:type="dxa" w:w="2556"/>
            <w:vAlign w:val="top"/>
            <w:tcBorders>
              <w:top w:sz="4" w:val="single" w:color="D9E2F3"/>
              <w:left w:sz="4" w:val="single" w:color="D9E2F3"/>
              <w:bottom w:sz="4" w:val="single" w:color="D9E2F3"/>
              <w:right w:sz="4" w:val="single" w:color="D9E2F3"/>
            </w:tcBorders>
          </w:tcPr>
          <w:p>
            <w:pPr>
              <w:spacing w:after="0"/>
            </w:pPr>
            <w:r>
              <w:rPr>
                <w:sz w:val="18"/>
              </w:rPr>
            </w:r>
            <w:r>
              <w:rPr>
                <w:b w:val="0"/>
                <w:sz w:val="18"/>
              </w:rPr>
              <w:t>Not the full pricing authority path.</w:t>
            </w:r>
          </w:p>
        </w:tc>
      </w:tr>
      <w:tr>
        <w:tc>
          <w:tcPr>
            <w:tcW w:type="dxa" w:w="2556"/>
            <w:vAlign w:val="top"/>
            <w:tcBorders>
              <w:top w:sz="4" w:val="single" w:color="D9E2F3"/>
              <w:left w:sz="4" w:val="single" w:color="D9E2F3"/>
              <w:bottom w:sz="4" w:val="single" w:color="D9E2F3"/>
              <w:right w:sz="4" w:val="single" w:color="D9E2F3"/>
            </w:tcBorders>
          </w:tcPr>
          <w:p>
            <w:pPr>
              <w:spacing w:after="0"/>
            </w:pPr>
            <w:r>
              <w:rPr>
                <w:sz w:val="18"/>
              </w:rPr>
            </w:r>
            <w:r>
              <w:rPr>
                <w:b w:val="0"/>
                <w:sz w:val="18"/>
              </w:rPr>
              <w:t>Quantity/pricing execution mode</w:t>
            </w:r>
          </w:p>
        </w:tc>
        <w:tc>
          <w:tcPr>
            <w:tcW w:type="dxa" w:w="2556"/>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engine/scripts/mvp_runner_v2_2.py</w:t>
            </w:r>
          </w:p>
        </w:tc>
        <w:tc>
          <w:tcPr>
            <w:tcW w:type="dxa" w:w="2556"/>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CE command harness, quantity commands and pricing through governed rate-library path.</w:t>
            </w:r>
          </w:p>
        </w:tc>
        <w:tc>
          <w:tcPr>
            <w:tcW w:type="dxa" w:w="2556"/>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CE backend harness is stub-tested; live production CE is not proven.</w:t>
            </w:r>
          </w:p>
        </w:tc>
      </w:tr>
    </w:tbl>
    <w:p>
      <w:pPr>
        <w:pStyle w:val="Heading2"/>
      </w:pPr>
      <w:r>
        <w:t>5.1 Core boundary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Layer</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Included components</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Boundary rule</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Pre-kernel</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CE retrieval or CE command harness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Acquire structured CE output only. No pricing or merge.</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Kernel decision chain</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Router -&gt; Architect -&gt; Validator</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Decision preparation and validation only. No CE retrieval, pricing, quantity or IO side effects.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Decision adapter</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Estimator Runtime step</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Convert validated output into estimator-facing action. It is not pricing authority.</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State integration</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Merge Agent</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Record confirmed catalog or provisional item state.</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Post-merge extensions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Quantity, pricing, display/export commands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Only run after merged estimate state exists.</w:t>
            </w:r>
          </w:p>
        </w:tc>
      </w:tr>
    </w:tbl>
    <w:p>
      <w:pPr>
        <w:pStyle w:val="Heading1"/>
      </w:pPr>
      <w:r>
        <w:t>6. Existing Valesco / Excel estimating workflow context</w:t>
      </w:r>
    </w:p>
    <w:p>
      <w:r>
        <w:rPr>
          <w:sz w:val="19"/>
        </w:rPr>
        <w:t>The practical target is not abstract AI output. It is a workflow that helps an estimator work through a client bill of quantities, allocate resources and return prices. The uploaded example workbook shows the type of client Price List/BOQ structure VALESCO should be able to handle.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Scenario</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Description</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VALESCO role</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1. Client BOQ provided</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Client issues an Excel Price List/BOQ with sections, quantities, units, rate and total columns, plus a tender document suite.</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Import the workbook, identify priceable rows, link each row to scope/resource/rate logic, flag risks, output completed rates/totals/comments.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2. BOQ to be created</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No complete client BOQ exists, or the provided information is too incomplete for pricing directly.</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Create a controlled internal BOQ from scope descriptions, drawings/specifications review and estimator decisions, then export a structured workbook.</w:t>
            </w:r>
          </w:p>
        </w:tc>
      </w:tr>
    </w:tbl>
    <w:p>
      <w:pPr>
        <w:pStyle w:val="Heading2"/>
      </w:pPr>
      <w:r>
        <w:t>6.1 Uploaded BOQ example observations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Observation from sample workbook</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Implication for VALESCO</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Workbook contains multiple work sections such as Demolitions, Excavating and Filling, Biodiversity, Hard Surfacing, Fencing, Soft Landscape, Overflow Car Park, FFE, Signage, Preliminaries and appendices.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Importer must understand multi-sheet workbooks and section-level totals, not only one flat table.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Typical section sheets use columns Ref, Element, Qty, Unit, Rate, Total and Comments.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This should become the first client BOQ import/export column contract.</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Sheets contain titles, notes, blank rows and section headings before priceable rows.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Importer must distinguish priceable rows from headings/notes/blank rows.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Preliminaries use a related but slightly different structure with Element, Qty, Unit, Rate and Total.</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Preliminaries need separate classification and may not map to normal item resources.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Appendix B Schedule of Rates includes rate-only items.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VALESCO must support rate-only outputs separately from measured total pricing.</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Pricing instructions place quantity verification and inclusive pricing risk on the tenderer.</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The system must flag quantity verification, inferred scope, exclusions, CDP/design responsibility and document-interface risks.</w:t>
            </w:r>
          </w:p>
        </w:tc>
      </w:tr>
    </w:tbl>
    <w:p>
      <w:pPr>
        <w:pStyle w:val="Heading1"/>
      </w:pPr>
      <w:r>
        <w:t>7. AI-aligned strategy</w:t>
      </w:r>
    </w:p>
    <w:p>
      <w:r>
        <w:rPr>
          <w:sz w:val="19"/>
        </w:rPr>
        <w:t>AI development is moving toward agents that can use tools, edit code, work with files and automate tasks. The right response is not to rebuild VALESCO as a general assistant. The right response is to make VALESCO a robust estimating-specific tool layer that agents and estimators can use safely.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Layer</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What AI may do</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What VALESCO must control</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Tender document review</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Summarise ITT, gateway, specifications and risk clauses; propose clarification questions.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Record source, status, uncertainty and estimator approval.</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BOQ import</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Help classify rows and identify likely priceable items.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Validate columns, preserve original descriptions, detect blanks/notes/headings and fail closed on ambiguous rows.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Resource allocation</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Suggest labour/material/plant/subcontract build-up options.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Use approved resource libraries and require estimator confirmation.</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Pricing</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Explain pricing status and missing data.</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Use approved rates only. No invented rates.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Output</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Draft comments, clarifications and tender notes.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Export controlled values, status and audit fields.</w:t>
            </w:r>
          </w:p>
        </w:tc>
      </w:tr>
    </w:tbl>
    <w:tbl>
      <w:tblPr>
        <w:tblW w:type="auto" w:w="0"/>
        <w:jc w:val="center"/>
        <w:tblLook w:firstColumn="1" w:firstRow="1" w:lastColumn="0" w:lastRow="0" w:noHBand="0" w:noVBand="1" w:val="04A0"/>
      </w:tblPr>
      <w:tblGrid>
        <w:gridCol w:w="10224"/>
      </w:tblGrid>
      <w:tr>
        <w:tc>
          <w:tcPr>
            <w:tcW w:type="dxa" w:w="10224"/>
            <w:shd w:fill="EAF2F8"/>
            <w:tcBorders>
              <w:top w:sz="8" w:val="single" w:color="5B9BD5"/>
              <w:left w:sz="8" w:val="single" w:color="5B9BD5"/>
              <w:bottom w:sz="8" w:val="single" w:color="5B9BD5"/>
              <w:right w:sz="8" w:val="single" w:color="5B9BD5"/>
            </w:tcBorders>
          </w:tcPr>
          <w:p>
            <w:pPr>
              <w:spacing w:after="80"/>
            </w:pPr>
            <w:r>
              <w:rPr>
                <w:b/>
                <w:color w:val="1F4E79"/>
                <w:sz w:val="20"/>
              </w:rPr>
              <w:t>Strategic rule</w:t>
            </w:r>
          </w:p>
          <w:p>
            <w:pPr>
              <w:spacing w:after="0"/>
            </w:pPr>
            <w:r>
              <w:rPr>
                <w:sz w:val="18"/>
              </w:rPr>
              <w:t>AI should make the estimator faster. VALESCO should make the output controlled.</w:t>
            </w:r>
          </w:p>
        </w:tc>
      </w:tr>
    </w:tbl>
    <w:p>
      <w:pPr>
        <w:pStyle w:val="Heading1"/>
      </w:pPr>
      <w:r>
        <w:t>8. Target product: VALESCO Estimator Workbench v0.1</w:t>
      </w:r>
    </w:p>
    <w:p>
      <w:r>
        <w:t>The first usable product should be a BOQ-first, Excel-led estimator workbench, not a full web app. It should take a client-provided BOQ as the first priority, preserve the client structure, support resource allocation and pricing, and return controlled Excel-ready outputs. VALESCO-created BOQs from tender documents remain a later route once import/export and resource allocation are stable.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Capability</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Minimum v0.1 requirement</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BOQ import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Read client workbook sheets and identify priceable rows, quantities, units and comments.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BOQ creation</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Allow estimator-created rows where no client BOQ exists.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Item resolution</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Use CE -&gt; Router -&gt; Architect -&gt; Validator -&gt; Estimator Runtime -&gt; Merge flow.</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Resource allocation</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Attach labour/material/plant/subcontract/preliminaries resources to rows or item build-ups.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Pricing</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Apply controlled rate library and produce rate/total/status.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Warnings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Flag missing quantity, missing rate, provisional item, clarification required, quantity verification and scope risk.</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Export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Return an Excel-ready workbook preserving client-facing fields and adding internal audit/build-up where appropriate.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Audit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Retain source description, decision state, source pack, rate source, validation messages and estimator action.</w:t>
            </w:r>
          </w:p>
        </w:tc>
      </w:tr>
    </w:tbl>
    <w:p>
      <w:pPr>
        <w:pStyle w:val="Heading1"/>
      </w:pPr>
      <w:r>
        <w:t>9. Delivery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Phase</w:t>
            </w:r>
          </w:p>
        </w:tc>
        <w:tc>
          <w:tcPr>
            <w:tcW w:type="dxa" w:w="2556"/>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Status</w:t>
            </w:r>
          </w:p>
        </w:tc>
        <w:tc>
          <w:tcPr>
            <w:tcW w:type="dxa" w:w="2556"/>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Purpose</w:t>
            </w:r>
          </w:p>
        </w:tc>
        <w:tc>
          <w:tcPr>
            <w:tcW w:type="dxa" w:w="2556"/>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Exit criteria</w:t>
            </w:r>
          </w:p>
        </w:tc>
      </w:tr>
      <w:tr>
        <w:tc>
          <w:tcPr>
            <w:tcW w:type="dxa" w:w="2556"/>
            <w:vAlign w:val="top"/>
            <w:tcBorders>
              <w:top w:sz="4" w:val="single" w:color="D9E2F3"/>
              <w:left w:sz="4" w:val="single" w:color="D9E2F3"/>
              <w:bottom w:sz="4" w:val="single" w:color="D9E2F3"/>
              <w:right w:sz="4" w:val="single" w:color="D9E2F3"/>
            </w:tcBorders>
          </w:tcPr>
          <w:p>
            <w:r/>
            <w:r>
              <w:rPr>
                <w:b w:val="0"/>
              </w:rPr>
              <w:t>Phase 1 - Runtime reconciliation</w:t>
            </w:r>
          </w:p>
        </w:tc>
        <w:tc>
          <w:tcPr>
            <w:tcW w:type="dxa" w:w="2556"/>
            <w:vAlign w:val="top"/>
            <w:tcBorders>
              <w:top w:sz="4" w:val="single" w:color="D9E2F3"/>
              <w:left w:sz="4" w:val="single" w:color="D9E2F3"/>
              <w:bottom w:sz="4" w:val="single" w:color="D9E2F3"/>
              <w:right w:sz="4" w:val="single" w:color="D9E2F3"/>
            </w:tcBorders>
          </w:tcPr>
          <w:p>
            <w:r/>
            <w:r>
              <w:rPr>
                <w:b w:val="0"/>
              </w:rPr>
              <w:t>Complete</w:t>
            </w:r>
          </w:p>
        </w:tc>
        <w:tc>
          <w:tcPr>
            <w:tcW w:type="dxa" w:w="2556"/>
            <w:vAlign w:val="top"/>
            <w:tcBorders>
              <w:top w:sz="4" w:val="single" w:color="D9E2F3"/>
              <w:left w:sz="4" w:val="single" w:color="D9E2F3"/>
              <w:bottom w:sz="4" w:val="single" w:color="D9E2F3"/>
              <w:right w:sz="4" w:val="single" w:color="D9E2F3"/>
            </w:tcBorders>
          </w:tcPr>
          <w:p>
            <w:r/>
            <w:r>
              <w:rPr>
                <w:b w:val="0"/>
              </w:rPr>
              <w:t>Stabilise current runtime boundary, documentation and governance.</w:t>
            </w:r>
          </w:p>
        </w:tc>
        <w:tc>
          <w:tcPr>
            <w:tcW w:type="dxa" w:w="2556"/>
            <w:vAlign w:val="top"/>
            <w:tcBorders>
              <w:top w:sz="4" w:val="single" w:color="D9E2F3"/>
              <w:left w:sz="4" w:val="single" w:color="D9E2F3"/>
              <w:bottom w:sz="4" w:val="single" w:color="D9E2F3"/>
              <w:right w:sz="4" w:val="single" w:color="D9E2F3"/>
            </w:tcBorders>
          </w:tcPr>
          <w:p>
            <w:r/>
            <w:r>
              <w:rPr>
                <w:b w:val="0"/>
              </w:rPr>
              <w:t>PR #2, PR #3, PR #4 merged; tag v3.7.11-runtime-reconciled created.</w:t>
            </w:r>
          </w:p>
        </w:tc>
      </w:tr>
      <w:tr>
        <w:tc>
          <w:tcPr>
            <w:tcW w:type="dxa" w:w="2556"/>
            <w:vAlign w:val="top"/>
            <w:tcBorders>
              <w:top w:sz="4" w:val="single" w:color="D9E2F3"/>
              <w:left w:sz="4" w:val="single" w:color="D9E2F3"/>
              <w:bottom w:sz="4" w:val="single" w:color="D9E2F3"/>
              <w:right w:sz="4" w:val="single" w:color="D9E2F3"/>
            </w:tcBorders>
          </w:tcPr>
          <w:p>
            <w:r/>
            <w:r>
              <w:rPr>
                <w:b w:val="0"/>
              </w:rPr>
              <w:t>Phase 2 - Usable BOQ workflow contract</w:t>
            </w:r>
          </w:p>
        </w:tc>
        <w:tc>
          <w:tcPr>
            <w:tcW w:type="dxa" w:w="2556"/>
            <w:vAlign w:val="top"/>
            <w:tcBorders>
              <w:top w:sz="4" w:val="single" w:color="D9E2F3"/>
              <w:left w:sz="4" w:val="single" w:color="D9E2F3"/>
              <w:bottom w:sz="4" w:val="single" w:color="D9E2F3"/>
              <w:right w:sz="4" w:val="single" w:color="D9E2F3"/>
            </w:tcBorders>
          </w:tcPr>
          <w:p>
            <w:r/>
            <w:r>
              <w:rPr>
                <w:b w:val="0"/>
              </w:rPr>
              <w:t>Next</w:t>
            </w:r>
          </w:p>
        </w:tc>
        <w:tc>
          <w:tcPr>
            <w:tcW w:type="dxa" w:w="2556"/>
            <w:vAlign w:val="top"/>
            <w:tcBorders>
              <w:top w:sz="4" w:val="single" w:color="D9E2F3"/>
              <w:left w:sz="4" w:val="single" w:color="D9E2F3"/>
              <w:bottom w:sz="4" w:val="single" w:color="D9E2F3"/>
              <w:right w:sz="4" w:val="single" w:color="D9E2F3"/>
            </w:tcBorders>
          </w:tcPr>
          <w:p>
            <w:r/>
            <w:r>
              <w:rPr>
                <w:b w:val="0"/>
              </w:rPr>
              <w:t>Define the client BOQ import contract, internal working fields, resource allocation schema, pricing/export workbook shape and fail-closed rules.</w:t>
            </w:r>
          </w:p>
        </w:tc>
        <w:tc>
          <w:tcPr>
            <w:tcW w:type="dxa" w:w="2556"/>
            <w:vAlign w:val="top"/>
            <w:tcBorders>
              <w:top w:sz="4" w:val="single" w:color="D9E2F3"/>
              <w:left w:sz="4" w:val="single" w:color="D9E2F3"/>
              <w:bottom w:sz="4" w:val="single" w:color="D9E2F3"/>
              <w:right w:sz="4" w:val="single" w:color="D9E2F3"/>
            </w:tcBorders>
          </w:tcPr>
          <w:p>
            <w:r/>
            <w:r>
              <w:rPr>
                <w:b w:val="0"/>
              </w:rPr>
              <w:t>Approved planning document with Scenario 1 and Scenario 2 separated, Excel fields defined and open decisions recorded.</w:t>
            </w:r>
          </w:p>
        </w:tc>
      </w:tr>
      <w:tr>
        <w:tc>
          <w:tcPr>
            <w:tcW w:type="dxa" w:w="2556"/>
            <w:vAlign w:val="top"/>
            <w:tcBorders>
              <w:top w:sz="4" w:val="single" w:color="D9E2F3"/>
              <w:left w:sz="4" w:val="single" w:color="D9E2F3"/>
              <w:bottom w:sz="4" w:val="single" w:color="D9E2F3"/>
              <w:right w:sz="4" w:val="single" w:color="D9E2F3"/>
            </w:tcBorders>
          </w:tcPr>
          <w:p>
            <w:r/>
            <w:r>
              <w:rPr>
                <w:b w:val="0"/>
              </w:rPr>
              <w:t>Phase 3 - Client BOQ import v0.1</w:t>
            </w:r>
          </w:p>
        </w:tc>
        <w:tc>
          <w:tcPr>
            <w:tcW w:type="dxa" w:w="2556"/>
            <w:vAlign w:val="top"/>
            <w:tcBorders>
              <w:top w:sz="4" w:val="single" w:color="D9E2F3"/>
              <w:left w:sz="4" w:val="single" w:color="D9E2F3"/>
              <w:bottom w:sz="4" w:val="single" w:color="D9E2F3"/>
              <w:right w:sz="4" w:val="single" w:color="D9E2F3"/>
            </w:tcBorders>
          </w:tcPr>
          <w:p>
            <w:r/>
            <w:r>
              <w:rPr>
                <w:b w:val="0"/>
              </w:rPr>
              <w:t>Planned</w:t>
            </w:r>
          </w:p>
        </w:tc>
        <w:tc>
          <w:tcPr>
            <w:tcW w:type="dxa" w:w="2556"/>
            <w:vAlign w:val="top"/>
            <w:tcBorders>
              <w:top w:sz="4" w:val="single" w:color="D9E2F3"/>
              <w:left w:sz="4" w:val="single" w:color="D9E2F3"/>
              <w:bottom w:sz="4" w:val="single" w:color="D9E2F3"/>
              <w:right w:sz="4" w:val="single" w:color="D9E2F3"/>
            </w:tcBorders>
          </w:tcPr>
          <w:p>
            <w:r/>
            <w:r>
              <w:rPr>
                <w:b w:val="0"/>
              </w:rPr>
              <w:t>Import client Price List/BOQ workbooks, classify rows and preserve source structure.</w:t>
            </w:r>
          </w:p>
        </w:tc>
        <w:tc>
          <w:tcPr>
            <w:tcW w:type="dxa" w:w="2556"/>
            <w:vAlign w:val="top"/>
            <w:tcBorders>
              <w:top w:sz="4" w:val="single" w:color="D9E2F3"/>
              <w:left w:sz="4" w:val="single" w:color="D9E2F3"/>
              <w:bottom w:sz="4" w:val="single" w:color="D9E2F3"/>
              <w:right w:sz="4" w:val="single" w:color="D9E2F3"/>
            </w:tcBorders>
          </w:tcPr>
          <w:p>
            <w:r/>
            <w:r>
              <w:rPr>
                <w:b w:val="0"/>
              </w:rPr>
              <w:t>Sample/sanitised workbook can be parsed into VALESCO input rows without losing sheet, row, ref, quantity or unit traceability.</w:t>
            </w:r>
          </w:p>
        </w:tc>
      </w:tr>
      <w:tr>
        <w:tc>
          <w:tcPr>
            <w:tcW w:type="dxa" w:w="2556"/>
            <w:vAlign w:val="top"/>
            <w:tcBorders>
              <w:top w:sz="4" w:val="single" w:color="D9E2F3"/>
              <w:left w:sz="4" w:val="single" w:color="D9E2F3"/>
              <w:bottom w:sz="4" w:val="single" w:color="D9E2F3"/>
              <w:right w:sz="4" w:val="single" w:color="D9E2F3"/>
            </w:tcBorders>
          </w:tcPr>
          <w:p>
            <w:r/>
            <w:r>
              <w:rPr>
                <w:b w:val="0"/>
              </w:rPr>
              <w:t>Phase 4 - Resource allocation v0.1</w:t>
            </w:r>
          </w:p>
        </w:tc>
        <w:tc>
          <w:tcPr>
            <w:tcW w:type="dxa" w:w="2556"/>
            <w:vAlign w:val="top"/>
            <w:tcBorders>
              <w:top w:sz="4" w:val="single" w:color="D9E2F3"/>
              <w:left w:sz="4" w:val="single" w:color="D9E2F3"/>
              <w:bottom w:sz="4" w:val="single" w:color="D9E2F3"/>
              <w:right w:sz="4" w:val="single" w:color="D9E2F3"/>
            </w:tcBorders>
          </w:tcPr>
          <w:p>
            <w:r/>
            <w:r>
              <w:rPr>
                <w:b w:val="0"/>
              </w:rPr>
              <w:t>Planned</w:t>
            </w:r>
          </w:p>
        </w:tc>
        <w:tc>
          <w:tcPr>
            <w:tcW w:type="dxa" w:w="2556"/>
            <w:vAlign w:val="top"/>
            <w:tcBorders>
              <w:top w:sz="4" w:val="single" w:color="D9E2F3"/>
              <w:left w:sz="4" w:val="single" w:color="D9E2F3"/>
              <w:bottom w:sz="4" w:val="single" w:color="D9E2F3"/>
              <w:right w:sz="4" w:val="single" w:color="D9E2F3"/>
            </w:tcBorders>
          </w:tcPr>
          <w:p>
            <w:r/>
            <w:r>
              <w:rPr>
                <w:b w:val="0"/>
              </w:rPr>
              <w:t>Attach resource build-ups against BOQ rows and resolved items.</w:t>
            </w:r>
          </w:p>
        </w:tc>
        <w:tc>
          <w:tcPr>
            <w:tcW w:type="dxa" w:w="2556"/>
            <w:vAlign w:val="top"/>
            <w:tcBorders>
              <w:top w:sz="4" w:val="single" w:color="D9E2F3"/>
              <w:left w:sz="4" w:val="single" w:color="D9E2F3"/>
              <w:bottom w:sz="4" w:val="single" w:color="D9E2F3"/>
              <w:right w:sz="4" w:val="single" w:color="D9E2F3"/>
            </w:tcBorders>
          </w:tcPr>
          <w:p>
            <w:r/>
            <w:r>
              <w:rPr>
                <w:b w:val="0"/>
              </w:rPr>
              <w:t>Labour/material/plant/subcontract/preliminaries build-up can be reviewed before pricing.</w:t>
            </w:r>
          </w:p>
        </w:tc>
      </w:tr>
      <w:tr>
        <w:tc>
          <w:tcPr>
            <w:tcW w:type="dxa" w:w="2556"/>
            <w:vAlign w:val="top"/>
            <w:tcBorders>
              <w:top w:sz="4" w:val="single" w:color="D9E2F3"/>
              <w:left w:sz="4" w:val="single" w:color="D9E2F3"/>
              <w:bottom w:sz="4" w:val="single" w:color="D9E2F3"/>
              <w:right w:sz="4" w:val="single" w:color="D9E2F3"/>
            </w:tcBorders>
          </w:tcPr>
          <w:p>
            <w:r/>
            <w:r>
              <w:rPr>
                <w:b w:val="0"/>
              </w:rPr>
              <w:t>Phase 5 - Pricing/export workbook v0.1</w:t>
            </w:r>
          </w:p>
        </w:tc>
        <w:tc>
          <w:tcPr>
            <w:tcW w:type="dxa" w:w="2556"/>
            <w:vAlign w:val="top"/>
            <w:tcBorders>
              <w:top w:sz="4" w:val="single" w:color="D9E2F3"/>
              <w:left w:sz="4" w:val="single" w:color="D9E2F3"/>
              <w:bottom w:sz="4" w:val="single" w:color="D9E2F3"/>
              <w:right w:sz="4" w:val="single" w:color="D9E2F3"/>
            </w:tcBorders>
          </w:tcPr>
          <w:p>
            <w:r/>
            <w:r>
              <w:rPr>
                <w:b w:val="0"/>
              </w:rPr>
              <w:t>Planned</w:t>
            </w:r>
          </w:p>
        </w:tc>
        <w:tc>
          <w:tcPr>
            <w:tcW w:type="dxa" w:w="2556"/>
            <w:vAlign w:val="top"/>
            <w:tcBorders>
              <w:top w:sz="4" w:val="single" w:color="D9E2F3"/>
              <w:left w:sz="4" w:val="single" w:color="D9E2F3"/>
              <w:bottom w:sz="4" w:val="single" w:color="D9E2F3"/>
              <w:right w:sz="4" w:val="single" w:color="D9E2F3"/>
            </w:tcBorders>
          </w:tcPr>
          <w:p>
            <w:r/>
            <w:r>
              <w:rPr>
                <w:b w:val="0"/>
              </w:rPr>
              <w:t>Apply controlled rates and export an estimator review workbook or priced client return.</w:t>
            </w:r>
          </w:p>
        </w:tc>
        <w:tc>
          <w:tcPr>
            <w:tcW w:type="dxa" w:w="2556"/>
            <w:vAlign w:val="top"/>
            <w:tcBorders>
              <w:top w:sz="4" w:val="single" w:color="D9E2F3"/>
              <w:left w:sz="4" w:val="single" w:color="D9E2F3"/>
              <w:bottom w:sz="4" w:val="single" w:color="D9E2F3"/>
              <w:right w:sz="4" w:val="single" w:color="D9E2F3"/>
            </w:tcBorders>
          </w:tcPr>
          <w:p>
            <w:r/>
            <w:r>
              <w:rPr>
                <w:b w:val="0"/>
              </w:rPr>
              <w:t>Valid, provisional, warning and failed pricing states export clearly without overwriting client evidence.</w:t>
            </w:r>
          </w:p>
        </w:tc>
      </w:tr>
      <w:tr>
        <w:tc>
          <w:tcPr>
            <w:tcW w:type="dxa" w:w="2556"/>
            <w:vAlign w:val="top"/>
            <w:tcBorders>
              <w:top w:sz="4" w:val="single" w:color="D9E2F3"/>
              <w:left w:sz="4" w:val="single" w:color="D9E2F3"/>
              <w:bottom w:sz="4" w:val="single" w:color="D9E2F3"/>
              <w:right w:sz="4" w:val="single" w:color="D9E2F3"/>
            </w:tcBorders>
          </w:tcPr>
          <w:p>
            <w:r/>
            <w:r>
              <w:rPr>
                <w:b w:val="0"/>
              </w:rPr>
              <w:t>Phase 6 - Controlled trial pack</w:t>
            </w:r>
          </w:p>
        </w:tc>
        <w:tc>
          <w:tcPr>
            <w:tcW w:type="dxa" w:w="2556"/>
            <w:vAlign w:val="top"/>
            <w:tcBorders>
              <w:top w:sz="4" w:val="single" w:color="D9E2F3"/>
              <w:left w:sz="4" w:val="single" w:color="D9E2F3"/>
              <w:bottom w:sz="4" w:val="single" w:color="D9E2F3"/>
              <w:right w:sz="4" w:val="single" w:color="D9E2F3"/>
            </w:tcBorders>
          </w:tcPr>
          <w:p>
            <w:r/>
            <w:r>
              <w:rPr>
                <w:b w:val="0"/>
              </w:rPr>
              <w:t>Planned</w:t>
            </w:r>
          </w:p>
        </w:tc>
        <w:tc>
          <w:tcPr>
            <w:tcW w:type="dxa" w:w="2556"/>
            <w:vAlign w:val="top"/>
            <w:tcBorders>
              <w:top w:sz="4" w:val="single" w:color="D9E2F3"/>
              <w:left w:sz="4" w:val="single" w:color="D9E2F3"/>
              <w:bottom w:sz="4" w:val="single" w:color="D9E2F3"/>
              <w:right w:sz="4" w:val="single" w:color="D9E2F3"/>
            </w:tcBorders>
          </w:tcPr>
          <w:p>
            <w:r/>
            <w:r>
              <w:rPr>
                <w:b w:val="0"/>
              </w:rPr>
              <w:t>Run a narrow internal trial using a sanitised BOQ and known rate library.</w:t>
            </w:r>
          </w:p>
        </w:tc>
        <w:tc>
          <w:tcPr>
            <w:tcW w:type="dxa" w:w="2556"/>
            <w:vAlign w:val="top"/>
            <w:tcBorders>
              <w:top w:sz="4" w:val="single" w:color="D9E2F3"/>
              <w:left w:sz="4" w:val="single" w:color="D9E2F3"/>
              <w:bottom w:sz="4" w:val="single" w:color="D9E2F3"/>
              <w:right w:sz="4" w:val="single" w:color="D9E2F3"/>
            </w:tcBorders>
          </w:tcPr>
          <w:p>
            <w:r/>
            <w:r>
              <w:rPr>
                <w:b w:val="0"/>
              </w:rPr>
              <w:t>Runbook, sample workbook, validation checklist and limitations recorded.</w:t>
            </w:r>
          </w:p>
        </w:tc>
      </w:tr>
      <w:tr>
        <w:tc>
          <w:tcPr>
            <w:tcW w:type="dxa" w:w="2556"/>
            <w:vAlign w:val="top"/>
            <w:tcBorders>
              <w:top w:sz="4" w:val="single" w:color="D9E2F3"/>
              <w:left w:sz="4" w:val="single" w:color="D9E2F3"/>
              <w:bottom w:sz="4" w:val="single" w:color="D9E2F3"/>
              <w:right w:sz="4" w:val="single" w:color="D9E2F3"/>
            </w:tcBorders>
          </w:tcPr>
          <w:p>
            <w:r/>
            <w:r>
              <w:rPr>
                <w:b w:val="0"/>
              </w:rPr>
              <w:t>Phase 7 - Rate library governance</w:t>
            </w:r>
          </w:p>
        </w:tc>
        <w:tc>
          <w:tcPr>
            <w:tcW w:type="dxa" w:w="2556"/>
            <w:vAlign w:val="top"/>
            <w:tcBorders>
              <w:top w:sz="4" w:val="single" w:color="D9E2F3"/>
              <w:left w:sz="4" w:val="single" w:color="D9E2F3"/>
              <w:bottom w:sz="4" w:val="single" w:color="D9E2F3"/>
              <w:right w:sz="4" w:val="single" w:color="D9E2F3"/>
            </w:tcBorders>
          </w:tcPr>
          <w:p>
            <w:r/>
            <w:r>
              <w:rPr>
                <w:b w:val="0"/>
              </w:rPr>
              <w:t>Planned</w:t>
            </w:r>
          </w:p>
        </w:tc>
        <w:tc>
          <w:tcPr>
            <w:tcW w:type="dxa" w:w="2556"/>
            <w:vAlign w:val="top"/>
            <w:tcBorders>
              <w:top w:sz="4" w:val="single" w:color="D9E2F3"/>
              <w:left w:sz="4" w:val="single" w:color="D9E2F3"/>
              <w:bottom w:sz="4" w:val="single" w:color="D9E2F3"/>
              <w:right w:sz="4" w:val="single" w:color="D9E2F3"/>
            </w:tcBorders>
          </w:tcPr>
          <w:p>
            <w:r/>
            <w:r>
              <w:rPr>
                <w:b w:val="0"/>
              </w:rPr>
              <w:t>Formalise approved rates, versioning and fail-closed rate behaviour.</w:t>
            </w:r>
          </w:p>
        </w:tc>
        <w:tc>
          <w:tcPr>
            <w:tcW w:type="dxa" w:w="2556"/>
            <w:vAlign w:val="top"/>
            <w:tcBorders>
              <w:top w:sz="4" w:val="single" w:color="D9E2F3"/>
              <w:left w:sz="4" w:val="single" w:color="D9E2F3"/>
              <w:bottom w:sz="4" w:val="single" w:color="D9E2F3"/>
              <w:right w:sz="4" w:val="single" w:color="D9E2F3"/>
            </w:tcBorders>
          </w:tcPr>
          <w:p>
            <w:r/>
            <w:r>
              <w:rPr>
                <w:b w:val="0"/>
              </w:rPr>
              <w:t>Approved sample rate library and change process.</w:t>
            </w:r>
          </w:p>
        </w:tc>
      </w:tr>
      <w:tr>
        <w:tc>
          <w:tcPr>
            <w:tcW w:type="dxa" w:w="2556"/>
            <w:vAlign w:val="top"/>
            <w:tcBorders>
              <w:top w:sz="4" w:val="single" w:color="D9E2F3"/>
              <w:left w:sz="4" w:val="single" w:color="D9E2F3"/>
              <w:bottom w:sz="4" w:val="single" w:color="D9E2F3"/>
              <w:right w:sz="4" w:val="single" w:color="D9E2F3"/>
            </w:tcBorders>
          </w:tcPr>
          <w:p>
            <w:r/>
            <w:r>
              <w:rPr>
                <w:b w:val="0"/>
              </w:rPr>
              <w:t>Phase 8 - Real CE backend validation</w:t>
            </w:r>
          </w:p>
        </w:tc>
        <w:tc>
          <w:tcPr>
            <w:tcW w:type="dxa" w:w="2556"/>
            <w:vAlign w:val="top"/>
            <w:tcBorders>
              <w:top w:sz="4" w:val="single" w:color="D9E2F3"/>
              <w:left w:sz="4" w:val="single" w:color="D9E2F3"/>
              <w:bottom w:sz="4" w:val="single" w:color="D9E2F3"/>
              <w:right w:sz="4" w:val="single" w:color="D9E2F3"/>
            </w:tcBorders>
          </w:tcPr>
          <w:p>
            <w:r/>
            <w:r>
              <w:rPr>
                <w:b w:val="0"/>
              </w:rPr>
              <w:t>Future</w:t>
            </w:r>
          </w:p>
        </w:tc>
        <w:tc>
          <w:tcPr>
            <w:tcW w:type="dxa" w:w="2556"/>
            <w:vAlign w:val="top"/>
            <w:tcBorders>
              <w:top w:sz="4" w:val="single" w:color="D9E2F3"/>
              <w:left w:sz="4" w:val="single" w:color="D9E2F3"/>
              <w:bottom w:sz="4" w:val="single" w:color="D9E2F3"/>
              <w:right w:sz="4" w:val="single" w:color="D9E2F3"/>
            </w:tcBorders>
          </w:tcPr>
          <w:p>
            <w:r/>
            <w:r>
              <w:rPr>
                <w:b w:val="0"/>
              </w:rPr>
              <w:t>Prove live CE backend output against deterministic contracts.</w:t>
            </w:r>
          </w:p>
        </w:tc>
        <w:tc>
          <w:tcPr>
            <w:tcW w:type="dxa" w:w="2556"/>
            <w:vAlign w:val="top"/>
            <w:tcBorders>
              <w:top w:sz="4" w:val="single" w:color="D9E2F3"/>
              <w:left w:sz="4" w:val="single" w:color="D9E2F3"/>
              <w:bottom w:sz="4" w:val="single" w:color="D9E2F3"/>
              <w:right w:sz="4" w:val="single" w:color="D9E2F3"/>
            </w:tcBorders>
          </w:tcPr>
          <w:p>
            <w:r/>
            <w:r>
              <w:rPr>
                <w:b w:val="0"/>
              </w:rPr>
              <w:t>Live backend tests pass and snapshot records evidence.</w:t>
            </w:r>
          </w:p>
        </w:tc>
      </w:tr>
      <w:tr>
        <w:tc>
          <w:tcPr>
            <w:tcW w:type="dxa" w:w="2556"/>
            <w:vAlign w:val="top"/>
            <w:tcBorders>
              <w:top w:sz="4" w:val="single" w:color="D9E2F3"/>
              <w:left w:sz="4" w:val="single" w:color="D9E2F3"/>
              <w:bottom w:sz="4" w:val="single" w:color="D9E2F3"/>
              <w:right w:sz="4" w:val="single" w:color="D9E2F3"/>
            </w:tcBorders>
          </w:tcPr>
          <w:p>
            <w:r/>
            <w:r>
              <w:rPr>
                <w:b w:val="0"/>
              </w:rPr>
              <w:t>Phase 9 - Agent/tool integration</w:t>
            </w:r>
          </w:p>
        </w:tc>
        <w:tc>
          <w:tcPr>
            <w:tcW w:type="dxa" w:w="2556"/>
            <w:vAlign w:val="top"/>
            <w:tcBorders>
              <w:top w:sz="4" w:val="single" w:color="D9E2F3"/>
              <w:left w:sz="4" w:val="single" w:color="D9E2F3"/>
              <w:bottom w:sz="4" w:val="single" w:color="D9E2F3"/>
              <w:right w:sz="4" w:val="single" w:color="D9E2F3"/>
            </w:tcBorders>
          </w:tcPr>
          <w:p>
            <w:r/>
            <w:r>
              <w:rPr>
                <w:b w:val="0"/>
              </w:rPr>
              <w:t>Future</w:t>
            </w:r>
          </w:p>
        </w:tc>
        <w:tc>
          <w:tcPr>
            <w:tcW w:type="dxa" w:w="2556"/>
            <w:vAlign w:val="top"/>
            <w:tcBorders>
              <w:top w:sz="4" w:val="single" w:color="D9E2F3"/>
              <w:left w:sz="4" w:val="single" w:color="D9E2F3"/>
              <w:bottom w:sz="4" w:val="single" w:color="D9E2F3"/>
              <w:right w:sz="4" w:val="single" w:color="D9E2F3"/>
            </w:tcBorders>
          </w:tcPr>
          <w:p>
            <w:r/>
            <w:r>
              <w:rPr>
                <w:b w:val="0"/>
              </w:rPr>
              <w:t>Expose VALESCO functions to AI agents and existing Excel workflows.</w:t>
            </w:r>
          </w:p>
        </w:tc>
        <w:tc>
          <w:tcPr>
            <w:tcW w:type="dxa" w:w="2556"/>
            <w:vAlign w:val="top"/>
            <w:tcBorders>
              <w:top w:sz="4" w:val="single" w:color="D9E2F3"/>
              <w:left w:sz="4" w:val="single" w:color="D9E2F3"/>
              <w:bottom w:sz="4" w:val="single" w:color="D9E2F3"/>
              <w:right w:sz="4" w:val="single" w:color="D9E2F3"/>
            </w:tcBorders>
          </w:tcPr>
          <w:p>
            <w:r/>
            <w:r>
              <w:rPr>
                <w:b w:val="0"/>
              </w:rPr>
              <w:t>Strict JSON/CLI/API tool contracts with approval and traceability.</w:t>
            </w:r>
          </w:p>
        </w:tc>
      </w:tr>
    </w:tbl>
    <w:p>
      <w:pPr>
        <w:pStyle w:val="Heading1"/>
      </w:pPr>
      <w:r>
        <w:t>10. Practical 90-day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Period</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Branch / workstream</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Deliverable</w:t>
            </w:r>
          </w:p>
        </w:tc>
      </w:tr>
      <w:tr>
        <w:tc>
          <w:tcPr>
            <w:tcW w:type="dxa" w:w="3408"/>
            <w:vAlign w:val="top"/>
            <w:tcBorders>
              <w:top w:sz="4" w:val="single" w:color="D9E2F3"/>
              <w:left w:sz="4" w:val="single" w:color="D9E2F3"/>
              <w:bottom w:sz="4" w:val="single" w:color="D9E2F3"/>
              <w:right w:sz="4" w:val="single" w:color="D9E2F3"/>
            </w:tcBorders>
          </w:tcPr>
          <w:p>
            <w:r/>
            <w:r>
              <w:rPr>
                <w:b w:val="0"/>
              </w:rPr>
              <w:t>Weeks 1-2</w:t>
            </w:r>
          </w:p>
        </w:tc>
        <w:tc>
          <w:tcPr>
            <w:tcW w:type="dxa" w:w="3408"/>
            <w:vAlign w:val="top"/>
            <w:tcBorders>
              <w:top w:sz="4" w:val="single" w:color="D9E2F3"/>
              <w:left w:sz="4" w:val="single" w:color="D9E2F3"/>
              <w:bottom w:sz="4" w:val="single" w:color="D9E2F3"/>
              <w:right w:sz="4" w:val="single" w:color="D9E2F3"/>
            </w:tcBorders>
          </w:tcPr>
          <w:p>
            <w:r/>
            <w:r>
              <w:rPr>
                <w:b w:val="0"/>
              </w:rPr>
              <w:t>planning/usable-boq-workflow-v0.1</w:t>
            </w:r>
          </w:p>
        </w:tc>
        <w:tc>
          <w:tcPr>
            <w:tcW w:type="dxa" w:w="3408"/>
            <w:vAlign w:val="top"/>
            <w:tcBorders>
              <w:top w:sz="4" w:val="single" w:color="D9E2F3"/>
              <w:left w:sz="4" w:val="single" w:color="D9E2F3"/>
              <w:bottom w:sz="4" w:val="single" w:color="D9E2F3"/>
              <w:right w:sz="4" w:val="single" w:color="D9E2F3"/>
            </w:tcBorders>
          </w:tcPr>
          <w:p>
            <w:r/>
            <w:r>
              <w:rPr>
                <w:b w:val="0"/>
              </w:rPr>
              <w:t>BOQ workflow contract, client import fields, preserved workbook fields, internal working fields, ready-to-price/export rules and fail-closed rules.</w:t>
            </w:r>
          </w:p>
        </w:tc>
      </w:tr>
      <w:tr>
        <w:tc>
          <w:tcPr>
            <w:tcW w:type="dxa" w:w="3408"/>
            <w:vAlign w:val="top"/>
            <w:tcBorders>
              <w:top w:sz="4" w:val="single" w:color="D9E2F3"/>
              <w:left w:sz="4" w:val="single" w:color="D9E2F3"/>
              <w:bottom w:sz="4" w:val="single" w:color="D9E2F3"/>
              <w:right w:sz="4" w:val="single" w:color="D9E2F3"/>
            </w:tcBorders>
          </w:tcPr>
          <w:p>
            <w:r/>
            <w:r>
              <w:rPr>
                <w:b w:val="0"/>
              </w:rPr>
              <w:t>Weeks 3-4</w:t>
            </w:r>
          </w:p>
        </w:tc>
        <w:tc>
          <w:tcPr>
            <w:tcW w:type="dxa" w:w="3408"/>
            <w:vAlign w:val="top"/>
            <w:tcBorders>
              <w:top w:sz="4" w:val="single" w:color="D9E2F3"/>
              <w:left w:sz="4" w:val="single" w:color="D9E2F3"/>
              <w:bottom w:sz="4" w:val="single" w:color="D9E2F3"/>
              <w:right w:sz="4" w:val="single" w:color="D9E2F3"/>
            </w:tcBorders>
          </w:tcPr>
          <w:p>
            <w:r/>
            <w:r>
              <w:rPr>
                <w:b w:val="0"/>
              </w:rPr>
              <w:t>feature/client-boq-import-v0.1</w:t>
            </w:r>
          </w:p>
        </w:tc>
        <w:tc>
          <w:tcPr>
            <w:tcW w:type="dxa" w:w="3408"/>
            <w:vAlign w:val="top"/>
            <w:tcBorders>
              <w:top w:sz="4" w:val="single" w:color="D9E2F3"/>
              <w:left w:sz="4" w:val="single" w:color="D9E2F3"/>
              <w:bottom w:sz="4" w:val="single" w:color="D9E2F3"/>
              <w:right w:sz="4" w:val="single" w:color="D9E2F3"/>
            </w:tcBorders>
          </w:tcPr>
          <w:p>
            <w:r/>
            <w:r>
              <w:rPr>
                <w:b w:val="0"/>
              </w:rPr>
              <w:t>Read a sanitised client BOQ workbook, classify priceable rows/headings/notes/totals and preserve source sheet/row/ref traceability.</w:t>
            </w:r>
          </w:p>
        </w:tc>
      </w:tr>
      <w:tr>
        <w:tc>
          <w:tcPr>
            <w:tcW w:type="dxa" w:w="3408"/>
            <w:vAlign w:val="top"/>
            <w:tcBorders>
              <w:top w:sz="4" w:val="single" w:color="D9E2F3"/>
              <w:left w:sz="4" w:val="single" w:color="D9E2F3"/>
              <w:bottom w:sz="4" w:val="single" w:color="D9E2F3"/>
              <w:right w:sz="4" w:val="single" w:color="D9E2F3"/>
            </w:tcBorders>
          </w:tcPr>
          <w:p>
            <w:r/>
            <w:r>
              <w:rPr>
                <w:b w:val="0"/>
              </w:rPr>
              <w:t>Weeks 5-6</w:t>
            </w:r>
          </w:p>
        </w:tc>
        <w:tc>
          <w:tcPr>
            <w:tcW w:type="dxa" w:w="3408"/>
            <w:vAlign w:val="top"/>
            <w:tcBorders>
              <w:top w:sz="4" w:val="single" w:color="D9E2F3"/>
              <w:left w:sz="4" w:val="single" w:color="D9E2F3"/>
              <w:bottom w:sz="4" w:val="single" w:color="D9E2F3"/>
              <w:right w:sz="4" w:val="single" w:color="D9E2F3"/>
            </w:tcBorders>
          </w:tcPr>
          <w:p>
            <w:r/>
            <w:r>
              <w:rPr>
                <w:b w:val="0"/>
              </w:rPr>
              <w:t>feature/resource-allocation-v0.1</w:t>
            </w:r>
          </w:p>
        </w:tc>
        <w:tc>
          <w:tcPr>
            <w:tcW w:type="dxa" w:w="3408"/>
            <w:vAlign w:val="top"/>
            <w:tcBorders>
              <w:top w:sz="4" w:val="single" w:color="D9E2F3"/>
              <w:left w:sz="4" w:val="single" w:color="D9E2F3"/>
              <w:bottom w:sz="4" w:val="single" w:color="D9E2F3"/>
              <w:right w:sz="4" w:val="single" w:color="D9E2F3"/>
            </w:tcBorders>
          </w:tcPr>
          <w:p>
            <w:r/>
            <w:r>
              <w:rPr>
                <w:b w:val="0"/>
              </w:rPr>
              <w:t>Define and attach labour, plant, materials, subcontract and preliminaries resources against BOQ rows or resolved items.</w:t>
            </w:r>
          </w:p>
        </w:tc>
      </w:tr>
      <w:tr>
        <w:tc>
          <w:tcPr>
            <w:tcW w:type="dxa" w:w="3408"/>
            <w:vAlign w:val="top"/>
            <w:tcBorders>
              <w:top w:sz="4" w:val="single" w:color="D9E2F3"/>
              <w:left w:sz="4" w:val="single" w:color="D9E2F3"/>
              <w:bottom w:sz="4" w:val="single" w:color="D9E2F3"/>
              <w:right w:sz="4" w:val="single" w:color="D9E2F3"/>
            </w:tcBorders>
          </w:tcPr>
          <w:p>
            <w:r/>
            <w:r>
              <w:rPr>
                <w:b w:val="0"/>
              </w:rPr>
              <w:t>Weeks 7-8</w:t>
            </w:r>
          </w:p>
        </w:tc>
        <w:tc>
          <w:tcPr>
            <w:tcW w:type="dxa" w:w="3408"/>
            <w:vAlign w:val="top"/>
            <w:tcBorders>
              <w:top w:sz="4" w:val="single" w:color="D9E2F3"/>
              <w:left w:sz="4" w:val="single" w:color="D9E2F3"/>
              <w:bottom w:sz="4" w:val="single" w:color="D9E2F3"/>
              <w:right w:sz="4" w:val="single" w:color="D9E2F3"/>
            </w:tcBorders>
          </w:tcPr>
          <w:p>
            <w:r/>
            <w:r>
              <w:rPr>
                <w:b w:val="0"/>
              </w:rPr>
              <w:t>feature/pricing-export-workbook-v0.1</w:t>
            </w:r>
          </w:p>
        </w:tc>
        <w:tc>
          <w:tcPr>
            <w:tcW w:type="dxa" w:w="3408"/>
            <w:vAlign w:val="top"/>
            <w:tcBorders>
              <w:top w:sz="4" w:val="single" w:color="D9E2F3"/>
              <w:left w:sz="4" w:val="single" w:color="D9E2F3"/>
              <w:bottom w:sz="4" w:val="single" w:color="D9E2F3"/>
              <w:right w:sz="4" w:val="single" w:color="D9E2F3"/>
            </w:tcBorders>
          </w:tcPr>
          <w:p>
            <w:r/>
            <w:r>
              <w:rPr>
                <w:b w:val="0"/>
              </w:rPr>
              <w:t>Export a controlled pricing workbook with client BOQ, VALESCO working data, resource build-up, pricing summary, warnings and audit trail.</w:t>
            </w:r>
          </w:p>
        </w:tc>
      </w:tr>
      <w:tr>
        <w:tc>
          <w:tcPr>
            <w:tcW w:type="dxa" w:w="3408"/>
            <w:vAlign w:val="top"/>
            <w:tcBorders>
              <w:top w:sz="4" w:val="single" w:color="D9E2F3"/>
              <w:left w:sz="4" w:val="single" w:color="D9E2F3"/>
              <w:bottom w:sz="4" w:val="single" w:color="D9E2F3"/>
              <w:right w:sz="4" w:val="single" w:color="D9E2F3"/>
            </w:tcBorders>
          </w:tcPr>
          <w:p>
            <w:r/>
            <w:r>
              <w:rPr>
                <w:b w:val="0"/>
              </w:rPr>
              <w:t>Weeks 9-10</w:t>
            </w:r>
          </w:p>
        </w:tc>
        <w:tc>
          <w:tcPr>
            <w:tcW w:type="dxa" w:w="3408"/>
            <w:vAlign w:val="top"/>
            <w:tcBorders>
              <w:top w:sz="4" w:val="single" w:color="D9E2F3"/>
              <w:left w:sz="4" w:val="single" w:color="D9E2F3"/>
              <w:bottom w:sz="4" w:val="single" w:color="D9E2F3"/>
              <w:right w:sz="4" w:val="single" w:color="D9E2F3"/>
            </w:tcBorders>
          </w:tcPr>
          <w:p>
            <w:r/>
            <w:r>
              <w:rPr>
                <w:b w:val="0"/>
              </w:rPr>
              <w:t>trial/controlled-client-boq-sample-v0.1</w:t>
            </w:r>
          </w:p>
        </w:tc>
        <w:tc>
          <w:tcPr>
            <w:tcW w:type="dxa" w:w="3408"/>
            <w:vAlign w:val="top"/>
            <w:tcBorders>
              <w:top w:sz="4" w:val="single" w:color="D9E2F3"/>
              <w:left w:sz="4" w:val="single" w:color="D9E2F3"/>
              <w:bottom w:sz="4" w:val="single" w:color="D9E2F3"/>
              <w:right w:sz="4" w:val="single" w:color="D9E2F3"/>
            </w:tcBorders>
          </w:tcPr>
          <w:p>
            <w:r/>
            <w:r>
              <w:rPr>
                <w:b w:val="0"/>
              </w:rPr>
              <w:t>Run against one sanitised/synthetic client BOQ and record unresolved rows, assumptions, warnings and user friction.</w:t>
            </w:r>
          </w:p>
        </w:tc>
      </w:tr>
      <w:tr>
        <w:tc>
          <w:tcPr>
            <w:tcW w:type="dxa" w:w="3408"/>
            <w:vAlign w:val="top"/>
          </w:tcPr>
          <w:p>
            <w:r/>
            <w:r>
              <w:rPr>
                <w:b w:val="0"/>
              </w:rPr>
              <w:t>Weeks 11-12</w:t>
            </w:r>
          </w:p>
        </w:tc>
        <w:tc>
          <w:tcPr>
            <w:tcW w:type="dxa" w:w="3408"/>
            <w:vAlign w:val="top"/>
          </w:tcPr>
          <w:p>
            <w:r/>
            <w:r>
              <w:rPr>
                <w:b w:val="0"/>
              </w:rPr>
              <w:t>release/internal-trial-v0.1</w:t>
            </w:r>
          </w:p>
        </w:tc>
        <w:tc>
          <w:tcPr>
            <w:tcW w:type="dxa" w:w="3408"/>
            <w:vAlign w:val="top"/>
          </w:tcPr>
          <w:p>
            <w:r/>
            <w:r>
              <w:rPr>
                <w:b w:val="0"/>
              </w:rPr>
              <w:t>Prepare internal trial runbook, known limitations, validation checklist, sample data, snapshot and tag.</w:t>
            </w:r>
          </w:p>
        </w:tc>
      </w:tr>
    </w:tbl>
    <w:p>
      <w:pPr>
        <w:pStyle w:val="Heading1"/>
      </w:pPr>
      <w:r>
        <w:t>11. Definition of usable v0.1</w:t>
      </w:r>
    </w:p>
    <w:p>
      <w:r>
        <w:rPr>
          <w:sz w:val="19"/>
        </w:rPr>
        <w:t>VALESCO v0.1 should be considered usable for a controlled internal trial only when the following are true:</w:t>
      </w:r>
    </w:p>
    <w:p>
      <w:pPr>
        <w:pStyle w:val="ListBullet"/>
      </w:pPr>
      <w:r>
        <w:t>A client BOQ similar to the sample workbook can be imported without damaging the workbook structure or losing row references.</w:t>
      </w:r>
    </w:p>
    <w:p>
      <w:pPr>
        <w:pStyle w:val="ListBullet"/>
      </w:pPr>
      <w:r>
        <w:t>Priceable rows can be separated from headings, notes, blanks and section totals.</w:t>
      </w:r>
    </w:p>
    <w:p>
      <w:pPr>
        <w:pStyle w:val="ListBullet"/>
      </w:pPr>
      <w:r>
        <w:t>The estimator can confirm or correct item resolution decisions before pricing.</w:t>
      </w:r>
    </w:p>
    <w:p>
      <w:pPr>
        <w:pStyle w:val="ListBullet"/>
      </w:pPr>
      <w:r>
        <w:t>Resources can be allocated in a visible labour/material/plant/subcontract/preliminaries structure.</w:t>
      </w:r>
    </w:p>
    <w:p>
      <w:pPr>
        <w:pStyle w:val="ListBullet"/>
      </w:pPr>
      <w:r>
        <w:t>Rates come from a controlled library or are clearly marked missing/provisional.</w:t>
      </w:r>
    </w:p>
    <w:p>
      <w:pPr>
        <w:pStyle w:val="ListBullet"/>
      </w:pPr>
      <w:r>
        <w:t>The system exports a workbook or CSV that can be reviewed and used in tender settlement.</w:t>
      </w:r>
    </w:p>
    <w:p>
      <w:pPr>
        <w:pStyle w:val="ListBullet"/>
      </w:pPr>
      <w:r>
        <w:t>Warnings and exclusions are visible, not buried.</w:t>
      </w:r>
    </w:p>
    <w:p>
      <w:pPr>
        <w:pStyle w:val="ListBullet"/>
      </w:pPr>
      <w:r>
        <w:t>The workflow fails closed on missing authority packs, invalid rate-library path and invalid pricing status.</w:t>
      </w:r>
    </w:p>
    <w:p>
      <w:pPr>
        <w:pStyle w:val="Heading1"/>
      </w:pPr>
      <w:r>
        <w:t>12. Recommended Excel-ready output columns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Column group</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Suggested fields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Source / import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Source sheet, source row, source ref, source element/description, client quantity, client unit, client comments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Decision</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Decision state A/B/C/D/E, resolved item ID, resolved item name, candidate count, estimator action, clarification required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Resource build-up</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Labour resource, material resource, plant resource, subcontract package, preliminaries link, productivity assumption</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Pricing</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Quantity, unit, unit rate, total, rate source, rate version, pricing status, provisional flag</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Commercial controls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Scope gap flag, exclusion flag, CDP/design responsibility flag, quantity verification flag, supplier quote required, lead-time risk</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Audit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Source pack, validation message, warning code, timestamp/session reference, estimator approval status</w:t>
            </w:r>
          </w:p>
        </w:tc>
      </w:tr>
    </w:tbl>
    <w:p>
      <w:pPr>
        <w:pStyle w:val="Heading2"/>
      </w:pPr>
      <w:r>
        <w:t>12.1 Pricing status examples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Status</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Meaning</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Action</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priced</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Approved rate and quantity exist.</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Can export to client price field.</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quantity_required</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Item resolved but no valid quantity exists.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Estimator must enter/confirm quantity.</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rate_missing</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Quantity exists but no approved rate exists.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Obtain rate or mark as provisional/quote required.</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provisional_user_supplied</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Item cannot be deterministically priced from controlled catalogue/rate source.</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Keep as controlled provisional item with estimator approval.</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clarification_required</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Input is insufficient or ambiguous.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Raise query or estimator clarification before pricing.</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excluded_or_not_priced</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Known exclusion or rate-only item.</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Do not include as priced total unless approved.</w:t>
            </w:r>
          </w:p>
        </w:tc>
      </w:tr>
    </w:tbl>
    <w:p>
      <w:pPr>
        <w:pStyle w:val="Heading1"/>
      </w:pPr>
      <w:r>
        <w:t>13. Future agent and tool interface</w:t>
      </w:r>
    </w:p>
    <w:p>
      <w:r>
        <w:rPr>
          <w:sz w:val="19"/>
        </w:rPr>
        <w:t>To align with future AI agents, VALESCO should expose narrow, deterministic tools rather than a free-form assistant interface. The same functions should be callable from CLI, future API, Excel automation or an AI agent.</w:t>
      </w:r>
    </w:p>
    <w:tbl>
      <w:tblPr>
        <w:tblStyle w:val="TableGrid"/>
        <w:tblW w:type="auto" w:w="0"/>
        <w:jc w:val="center"/>
        <w:tblLook w:firstColumn="1" w:firstRow="1" w:lastColumn="0" w:lastRow="0" w:noHBand="0" w:noVBand="1" w:val="04A0"/>
      </w:tblPr>
      <w:tblGrid>
        <w:gridCol w:w="10224"/>
      </w:tblGrid>
      <w:tr>
        <w:tc>
          <w:tcPr>
            <w:tcW w:type="dxa" w:w="10224"/>
            <w:shd w:fill="F2F6FA"/>
            <w:tcBorders>
              <w:top w:sz="4" w:val="single" w:color="D9E2F3"/>
              <w:left w:sz="4" w:val="single" w:color="D9E2F3"/>
              <w:bottom w:sz="4" w:val="single" w:color="D9E2F3"/>
              <w:right w:sz="4" w:val="single" w:color="D9E2F3"/>
            </w:tcBorders>
          </w:tcPr>
          <w:p>
            <w:pPr>
              <w:spacing w:after="0"/>
            </w:pPr>
            <w:r>
              <w:rPr>
                <w:rFonts w:ascii="Consolas" w:hAnsi="Consolas" w:eastAsia="Consolas"/>
                <w:sz w:val="18"/>
              </w:rPr>
              <w:t>Example future tool contracts:</w:t>
              <w:br/>
              <w:br/>
              <w:t>validate_ready()</w:t>
              <w:br/>
              <w:t>import_boq(file_path)</w:t>
              <w:br/>
              <w:t>classify_boq_rows(workbook_id)</w:t>
              <w:br/>
              <w:t>resolve_item(description, context)</w:t>
              <w:br/>
              <w:t>confirm_item(line_id, item_id)</w:t>
              <w:br/>
              <w:t>create_provisional_item(line_id, reason)</w:t>
              <w:br/>
              <w:t>set_quantity(line_id, quantity, unit)</w:t>
              <w:br/>
              <w:t>allocate_resources(line_id, resource_build_up)</w:t>
              <w:br/>
              <w:t>price_snapshot(rate_library_path)</w:t>
              <w:br/>
              <w:t>export_estimate(format="xlsx")</w:t>
              <w:br/>
              <w:t>explain_decision(line_id)</w:t>
            </w:r>
          </w:p>
        </w:tc>
      </w:tr>
    </w:tbl>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Rule</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Reason</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Strict JSON in/out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Agents and Excel automation need predictable contracts.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No hidden pricing</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Estimator must see and approve rates/build-ups.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No AI override of Validator</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Preserves anti-hallucination principle.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Trace every decision</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Required for tender review and commercial accountability.</w:t>
            </w:r>
          </w:p>
        </w:tc>
      </w:tr>
    </w:tbl>
    <w:p>
      <w:pPr>
        <w:pStyle w:val="Heading1"/>
      </w:pPr>
      <w:r>
        <w:t>14. Key risks and controls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Risk</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Exposure</w:t>
            </w:r>
          </w:p>
        </w:tc>
        <w:tc>
          <w:tcPr>
            <w:tcW w:type="dxa" w:w="3408"/>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Control</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Trying to build a chatbot instead of a workbench</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High delivery risk and weak commercial control.</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Keep VALESCO as the governed engine; use AI only around it.</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Over-refactoring working modules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Regression risk and loss of confidence.</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Use protected branches, PRs, targeted tests and snapshots.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Uncontrolled rates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Commercial pricing error.</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Approved rate library, versioning, source fields and fail-closed missing rates.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BOQ import errors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Wrong rows priced or headings treated as items.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Row classification tests using real client BOQ examples.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Overstated CE backend status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False confidence in retrieval results.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Keep live CE backend as not proven until real validation passes.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AI hallucination</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Unsupported scope/rate assumptions.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AI may draft/explain only; Validator, Pack Registry and rate authority control outputs.</w:t>
            </w:r>
          </w:p>
        </w:tc>
      </w:tr>
      <w:tr>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Excel output not usable by estimators</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Technically correct but operationally ignored.</w:t>
            </w:r>
          </w:p>
        </w:tc>
        <w:tc>
          <w:tcPr>
            <w:tcW w:type="dxa" w:w="3408"/>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Design against real BOQ examples and settlement workflow.</w:t>
            </w:r>
          </w:p>
        </w:tc>
      </w:tr>
    </w:tbl>
    <w:p>
      <w:pPr>
        <w:pStyle w:val="Heading1"/>
      </w:pPr>
      <w:r>
        <w:t>15. Immediate next action</w:t>
      </w:r>
    </w:p>
    <w:p>
      <w:r>
        <w:t>The next branch should be planning only. Do not code the importer, exporter or resource allocation engine until the BOQ workflow contract is settled. Phase 2 must start with the client-provided BOQ route because that matches the live estimating workflow and gives the shortest path to usable output.</w:t>
      </w:r>
    </w:p>
    <w:tbl>
      <w:tblPr>
        <w:tblStyle w:val="TableGrid"/>
        <w:tblW w:type="auto" w:w="0"/>
        <w:jc w:val="center"/>
        <w:tblLook w:firstColumn="1" w:firstRow="1" w:lastColumn="0" w:lastRow="0" w:noHBand="0" w:noVBand="1" w:val="04A0"/>
      </w:tblPr>
      <w:tblGrid>
        <w:gridCol w:w="10224"/>
      </w:tblGrid>
      <w:tr>
        <w:tc>
          <w:tcPr>
            <w:tcW w:type="dxa" w:w="10224"/>
            <w:shd w:fill="F2F6FA"/>
            <w:tcBorders>
              <w:top w:sz="4" w:val="single" w:color="D9E2F3"/>
              <w:left w:sz="4" w:val="single" w:color="D9E2F3"/>
              <w:bottom w:sz="4" w:val="single" w:color="D9E2F3"/>
              <w:right w:sz="4" w:val="single" w:color="D9E2F3"/>
            </w:tcBorders>
          </w:tcPr>
          <w:p>
            <w:r>
              <w:t>Recommended branch:</w:t>
              <w:br/>
              <w:t>planning/usable-boq-workflow-v0.1</w:t>
              <w:br/>
              <w:br/>
              <w:t>Goal:</w:t>
              <w:br/>
              <w:t>Define the minimum BOQ-first workflow required for a usable estimator trial, with client-provided Excel BOQ import as first priority and VALESCO-created BOQs as a later route.</w:t>
            </w:r>
          </w:p>
        </w:tc>
      </w:tr>
    </w:tbl>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Planning decision</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Why it matters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Client-facing workbook structure</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Determines whether output writes back to client BOQ or creates a separate priced workbook.</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Internal build-up visibility</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Determines whether labour/material/plant/subcontract build-up is hidden, internal-only or exportable.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Rate status rules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Controls how missing rates, provisional items and rate-only items are handled.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BOQ creation mode</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Controls how VALESCO creates its own BOQ when the client does not provide one.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Document suite references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Defines how ITT, gateway, drawings, specs and clarifications are linked to estimate rows.</w:t>
            </w:r>
          </w:p>
        </w:tc>
      </w:tr>
    </w:tbl>
    <w:p>
      <w:pPr>
        <w:pStyle w:val="Heading1"/>
      </w:pPr>
      <w:r>
        <w:t>16. Phase 2 operating model - BOQ-first delivery</w:t>
      </w:r>
    </w:p>
    <w:p>
      <w:r>
        <w:t>Phase 2 should be managed as a BOQ-first delivery programme. The North Star document should remain the stable product anchor, while GitHub planning documents become the live delivery guide. This prevents long chats from becoming the source of truth and keeps work reviewable through branches, PRs, snapshots and tags.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r>
              <w:rPr>
                <w:b/>
                <w:color w:val="FFFFFF"/>
              </w:rPr>
            </w:r>
            <w:r>
              <w:rPr>
                <w:b/>
                <w:color w:val="FFFFFF"/>
              </w:rPr>
              <w:t>Control layer</w:t>
            </w:r>
          </w:p>
        </w:tc>
        <w:tc>
          <w:tcPr>
            <w:tcW w:type="dxa" w:w="3408"/>
            <w:shd w:fill="1F4E79"/>
            <w:vAlign w:val="center"/>
          </w:tcPr>
          <w:p>
            <w:r>
              <w:rPr>
                <w:b/>
                <w:color w:val="FFFFFF"/>
              </w:rPr>
            </w:r>
            <w:r>
              <w:rPr>
                <w:b/>
                <w:color w:val="FFFFFF"/>
              </w:rPr>
              <w:t>Purpose</w:t>
            </w:r>
          </w:p>
        </w:tc>
        <w:tc>
          <w:tcPr>
            <w:tcW w:type="dxa" w:w="3408"/>
            <w:shd w:fill="1F4E79"/>
            <w:vAlign w:val="center"/>
          </w:tcPr>
          <w:p>
            <w:r>
              <w:rPr>
                <w:b/>
                <w:color w:val="FFFFFF"/>
              </w:rPr>
            </w:r>
            <w:r>
              <w:rPr>
                <w:b/>
                <w:color w:val="FFFFFF"/>
              </w:rPr>
              <w:t>Rule</w:t>
            </w:r>
          </w:p>
        </w:tc>
      </w:tr>
      <w:tr>
        <w:tc>
          <w:tcPr>
            <w:tcW w:type="dxa" w:w="3408"/>
            <w:vAlign w:val="top"/>
          </w:tcPr>
          <w:p>
            <w:r/>
            <w:r>
              <w:rPr>
                <w:b w:val="0"/>
              </w:rPr>
              <w:t>North Star document</w:t>
            </w:r>
          </w:p>
        </w:tc>
        <w:tc>
          <w:tcPr>
            <w:tcW w:type="dxa" w:w="3408"/>
            <w:vAlign w:val="top"/>
          </w:tcPr>
          <w:p>
            <w:r/>
            <w:r>
              <w:rPr>
                <w:b w:val="0"/>
              </w:rPr>
              <w:t>Stable direction, principles and 90-day product intent.</w:t>
            </w:r>
          </w:p>
        </w:tc>
        <w:tc>
          <w:tcPr>
            <w:tcW w:type="dxa" w:w="3408"/>
            <w:vAlign w:val="top"/>
          </w:tcPr>
          <w:p>
            <w:r/>
            <w:r>
              <w:rPr>
                <w:b w:val="0"/>
              </w:rPr>
              <w:t>Update only when product direction materially changes. Do not use it as a task tracker.</w:t>
            </w:r>
          </w:p>
        </w:tc>
      </w:tr>
      <w:tr>
        <w:tc>
          <w:tcPr>
            <w:tcW w:type="dxa" w:w="3408"/>
            <w:vAlign w:val="top"/>
          </w:tcPr>
          <w:p>
            <w:r/>
            <w:r>
              <w:rPr>
                <w:b w:val="0"/>
              </w:rPr>
              <w:t>GitHub planning docs</w:t>
            </w:r>
          </w:p>
        </w:tc>
        <w:tc>
          <w:tcPr>
            <w:tcW w:type="dxa" w:w="3408"/>
            <w:vAlign w:val="top"/>
          </w:tcPr>
          <w:p>
            <w:r/>
            <w:r>
              <w:rPr>
                <w:b w:val="0"/>
              </w:rPr>
              <w:t>Detailed delivery contracts such as BOQ import, resource allocation and export shape.</w:t>
            </w:r>
          </w:p>
        </w:tc>
        <w:tc>
          <w:tcPr>
            <w:tcW w:type="dxa" w:w="3408"/>
            <w:vAlign w:val="top"/>
          </w:tcPr>
          <w:p>
            <w:r/>
            <w:r>
              <w:rPr>
                <w:b w:val="0"/>
              </w:rPr>
              <w:t>One planning document per workstream, committed by PR.</w:t>
            </w:r>
          </w:p>
        </w:tc>
      </w:tr>
      <w:tr>
        <w:tc>
          <w:tcPr>
            <w:tcW w:type="dxa" w:w="3408"/>
            <w:vAlign w:val="top"/>
          </w:tcPr>
          <w:p>
            <w:r/>
            <w:r>
              <w:rPr>
                <w:b w:val="0"/>
              </w:rPr>
              <w:t>ChatGPT Project control chat</w:t>
            </w:r>
          </w:p>
        </w:tc>
        <w:tc>
          <w:tcPr>
            <w:tcW w:type="dxa" w:w="3408"/>
            <w:vAlign w:val="top"/>
          </w:tcPr>
          <w:p>
            <w:r/>
            <w:r>
              <w:rPr>
                <w:b w:val="0"/>
              </w:rPr>
              <w:t>Programme control, decisions, Codex prompts and review of outputs.</w:t>
            </w:r>
          </w:p>
        </w:tc>
        <w:tc>
          <w:tcPr>
            <w:tcW w:type="dxa" w:w="3408"/>
            <w:vAlign w:val="top"/>
          </w:tcPr>
          <w:p>
            <w:r/>
            <w:r>
              <w:rPr>
                <w:b w:val="0"/>
              </w:rPr>
              <w:t>Start a fresh Phase 2 control chat rather than extending the reconciliation thread indefinitely.</w:t>
            </w:r>
          </w:p>
        </w:tc>
      </w:tr>
      <w:tr>
        <w:tc>
          <w:tcPr>
            <w:tcW w:type="dxa" w:w="3408"/>
            <w:vAlign w:val="top"/>
          </w:tcPr>
          <w:p>
            <w:r/>
            <w:r>
              <w:rPr>
                <w:b w:val="0"/>
              </w:rPr>
              <w:t>Codex</w:t>
            </w:r>
          </w:p>
        </w:tc>
        <w:tc>
          <w:tcPr>
            <w:tcW w:type="dxa" w:w="3408"/>
            <w:vAlign w:val="top"/>
          </w:tcPr>
          <w:p>
            <w:r/>
            <w:r>
              <w:rPr>
                <w:b w:val="0"/>
              </w:rPr>
              <w:t>Repository execution: branches, edits, tests, commits and PRs.</w:t>
            </w:r>
          </w:p>
        </w:tc>
        <w:tc>
          <w:tcPr>
            <w:tcW w:type="dxa" w:w="3408"/>
            <w:vAlign w:val="top"/>
          </w:tcPr>
          <w:p>
            <w:r/>
            <w:r>
              <w:rPr>
                <w:b w:val="0"/>
              </w:rPr>
              <w:t>One Codex goal per branch. No broad refactors unless approved.</w:t>
            </w:r>
          </w:p>
        </w:tc>
      </w:tr>
      <w:tr>
        <w:tc>
          <w:tcPr>
            <w:tcW w:type="dxa" w:w="3408"/>
            <w:vAlign w:val="top"/>
          </w:tcPr>
          <w:p>
            <w:r/>
            <w:r>
              <w:rPr>
                <w:b w:val="0"/>
              </w:rPr>
              <w:t>Other agents / co-work</w:t>
            </w:r>
          </w:p>
        </w:tc>
        <w:tc>
          <w:tcPr>
            <w:tcW w:type="dxa" w:w="3408"/>
            <w:vAlign w:val="top"/>
          </w:tcPr>
          <w:p>
            <w:r/>
            <w:r>
              <w:rPr>
                <w:b w:val="0"/>
              </w:rPr>
              <w:t>Second-opinion review and challenge.</w:t>
            </w:r>
          </w:p>
        </w:tc>
        <w:tc>
          <w:tcPr>
            <w:tcW w:type="dxa" w:w="3408"/>
            <w:vAlign w:val="top"/>
          </w:tcPr>
          <w:p>
            <w:r/>
            <w:r>
              <w:rPr>
                <w:b w:val="0"/>
              </w:rPr>
              <w:t>Useful input, but not authority until reconciled into GitHub docs.</w:t>
            </w:r>
          </w:p>
        </w:tc>
      </w:tr>
    </w:tbl>
    <w:p>
      <w:pPr>
        <w:pStyle w:val="Heading2"/>
      </w:pPr>
      <w:r>
        <w:t>Phase 2 GitHub document set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r>
              <w:rPr>
                <w:b/>
                <w:color w:val="FFFFFF"/>
              </w:rPr>
            </w:r>
            <w:r>
              <w:rPr>
                <w:b/>
                <w:color w:val="FFFFFF"/>
              </w:rPr>
              <w:t>Document</w:t>
            </w:r>
          </w:p>
        </w:tc>
        <w:tc>
          <w:tcPr>
            <w:tcW w:type="dxa" w:w="3408"/>
            <w:shd w:fill="1F4E79"/>
            <w:vAlign w:val="center"/>
          </w:tcPr>
          <w:p>
            <w:r>
              <w:rPr>
                <w:b/>
                <w:color w:val="FFFFFF"/>
              </w:rPr>
            </w:r>
            <w:r>
              <w:rPr>
                <w:b/>
                <w:color w:val="FFFFFF"/>
              </w:rPr>
              <w:t>Purpose</w:t>
            </w:r>
          </w:p>
        </w:tc>
        <w:tc>
          <w:tcPr>
            <w:tcW w:type="dxa" w:w="3408"/>
            <w:shd w:fill="1F4E79"/>
            <w:vAlign w:val="center"/>
          </w:tcPr>
          <w:p>
            <w:r>
              <w:rPr>
                <w:b/>
                <w:color w:val="FFFFFF"/>
              </w:rPr>
            </w:r>
            <w:r>
              <w:rPr>
                <w:b/>
                <w:color w:val="FFFFFF"/>
              </w:rPr>
              <w:t>Priority</w:t>
            </w:r>
          </w:p>
        </w:tc>
      </w:tr>
      <w:tr>
        <w:tc>
          <w:tcPr>
            <w:tcW w:type="dxa" w:w="3408"/>
            <w:vAlign w:val="top"/>
          </w:tcPr>
          <w:p>
            <w:r/>
            <w:r>
              <w:rPr>
                <w:b w:val="0"/>
              </w:rPr>
              <w:t>docs/north_star/VALESCO_North_Star_and_Roadmap_v3_7_11.docx</w:t>
            </w:r>
          </w:p>
        </w:tc>
        <w:tc>
          <w:tcPr>
            <w:tcW w:type="dxa" w:w="3408"/>
            <w:vAlign w:val="top"/>
          </w:tcPr>
          <w:p>
            <w:r/>
            <w:r>
              <w:rPr>
                <w:b w:val="0"/>
              </w:rPr>
              <w:t>Stable North Star anchor, including BOQ-first Phase 2 context.</w:t>
            </w:r>
          </w:p>
        </w:tc>
        <w:tc>
          <w:tcPr>
            <w:tcW w:type="dxa" w:w="3408"/>
            <w:vAlign w:val="top"/>
          </w:tcPr>
          <w:p>
            <w:r/>
            <w:r>
              <w:rPr>
                <w:b w:val="0"/>
              </w:rPr>
              <w:t>Add to repo once reviewed.</w:t>
            </w:r>
          </w:p>
        </w:tc>
      </w:tr>
      <w:tr>
        <w:tc>
          <w:tcPr>
            <w:tcW w:type="dxa" w:w="3408"/>
            <w:vAlign w:val="top"/>
          </w:tcPr>
          <w:p>
            <w:r/>
            <w:r>
              <w:rPr>
                <w:b w:val="0"/>
              </w:rPr>
              <w:t>docs/planning/usable_boq_workflow_v0_1.md</w:t>
            </w:r>
          </w:p>
        </w:tc>
        <w:tc>
          <w:tcPr>
            <w:tcW w:type="dxa" w:w="3408"/>
            <w:vAlign w:val="top"/>
          </w:tcPr>
          <w:p>
            <w:r/>
            <w:r>
              <w:rPr>
                <w:b w:val="0"/>
              </w:rPr>
              <w:t>Primary live delivery plan for BOQ-first workflow.</w:t>
            </w:r>
          </w:p>
        </w:tc>
        <w:tc>
          <w:tcPr>
            <w:tcW w:type="dxa" w:w="3408"/>
            <w:vAlign w:val="top"/>
          </w:tcPr>
          <w:p>
            <w:r/>
            <w:r>
              <w:rPr>
                <w:b w:val="0"/>
              </w:rPr>
              <w:t>Create next.</w:t>
            </w:r>
          </w:p>
        </w:tc>
      </w:tr>
      <w:tr>
        <w:tc>
          <w:tcPr>
            <w:tcW w:type="dxa" w:w="3408"/>
            <w:vAlign w:val="top"/>
          </w:tcPr>
          <w:p>
            <w:r/>
            <w:r>
              <w:rPr>
                <w:b w:val="0"/>
              </w:rPr>
              <w:t>docs/planning/client_boq_import_contract_v0_1.md</w:t>
            </w:r>
          </w:p>
        </w:tc>
        <w:tc>
          <w:tcPr>
            <w:tcW w:type="dxa" w:w="3408"/>
            <w:vAlign w:val="top"/>
          </w:tcPr>
          <w:p>
            <w:r/>
            <w:r>
              <w:rPr>
                <w:b w:val="0"/>
              </w:rPr>
              <w:t>Detailed import contract for client-provided BOQs.</w:t>
            </w:r>
          </w:p>
        </w:tc>
        <w:tc>
          <w:tcPr>
            <w:tcW w:type="dxa" w:w="3408"/>
            <w:vAlign w:val="top"/>
          </w:tcPr>
          <w:p>
            <w:r/>
            <w:r>
              <w:rPr>
                <w:b w:val="0"/>
              </w:rPr>
              <w:t>Create after workflow plan.</w:t>
            </w:r>
          </w:p>
        </w:tc>
      </w:tr>
      <w:tr>
        <w:tc>
          <w:tcPr>
            <w:tcW w:type="dxa" w:w="3408"/>
            <w:vAlign w:val="top"/>
          </w:tcPr>
          <w:p>
            <w:r/>
            <w:r>
              <w:rPr>
                <w:b w:val="0"/>
              </w:rPr>
              <w:t>docs/planning/resource_allocation_schema_v0_1.md</w:t>
            </w:r>
          </w:p>
        </w:tc>
        <w:tc>
          <w:tcPr>
            <w:tcW w:type="dxa" w:w="3408"/>
            <w:vAlign w:val="top"/>
          </w:tcPr>
          <w:p>
            <w:r/>
            <w:r>
              <w:rPr>
                <w:b w:val="0"/>
              </w:rPr>
              <w:t>Resource categories, build-up structure and estimator approval rules.</w:t>
            </w:r>
          </w:p>
        </w:tc>
        <w:tc>
          <w:tcPr>
            <w:tcW w:type="dxa" w:w="3408"/>
            <w:vAlign w:val="top"/>
          </w:tcPr>
          <w:p>
            <w:r/>
            <w:r>
              <w:rPr>
                <w:b w:val="0"/>
              </w:rPr>
              <w:t>Create after import contract.</w:t>
            </w:r>
          </w:p>
        </w:tc>
      </w:tr>
      <w:tr>
        <w:tc>
          <w:tcPr>
            <w:tcW w:type="dxa" w:w="3408"/>
            <w:vAlign w:val="top"/>
          </w:tcPr>
          <w:p>
            <w:r/>
            <w:r>
              <w:rPr>
                <w:b w:val="0"/>
              </w:rPr>
              <w:t>docs/planning/pricing_export_workbook_v0_1.md</w:t>
            </w:r>
          </w:p>
        </w:tc>
        <w:tc>
          <w:tcPr>
            <w:tcW w:type="dxa" w:w="3408"/>
            <w:vAlign w:val="top"/>
          </w:tcPr>
          <w:p>
            <w:r/>
            <w:r>
              <w:rPr>
                <w:b w:val="0"/>
              </w:rPr>
              <w:t>Pricing workbook tabs, output columns, warning/audit fields and export rules.</w:t>
            </w:r>
          </w:p>
        </w:tc>
        <w:tc>
          <w:tcPr>
            <w:tcW w:type="dxa" w:w="3408"/>
            <w:vAlign w:val="top"/>
          </w:tcPr>
          <w:p>
            <w:r/>
            <w:r>
              <w:rPr>
                <w:b w:val="0"/>
              </w:rPr>
              <w:t>Create before exporter implementation.</w:t>
            </w:r>
          </w:p>
        </w:tc>
      </w:tr>
    </w:tbl>
    <w:p>
      <w:pPr>
        <w:pStyle w:val="Heading2"/>
      </w:pPr>
      <w:r>
        <w:t>Phase 2 working rules</w:t>
      </w:r>
    </w:p>
    <w:p>
      <w:pPr>
        <w:pStyle w:val="ListBullet"/>
      </w:pPr>
      <w:r>
        <w:t>Client-provided Excel BOQ is first priority because it matches the current estimating workflow and gives the shortest path to usable output.</w:t>
      </w:r>
    </w:p>
    <w:p>
      <w:pPr>
        <w:pStyle w:val="ListBullet"/>
      </w:pPr>
      <w:r>
        <w:t>VALESCO-created BOQs from tender documents are later priority because they require document extraction, scope interpretation and stronger validation.</w:t>
      </w:r>
    </w:p>
    <w:p>
      <w:pPr>
        <w:pStyle w:val="ListBullet"/>
      </w:pPr>
      <w:r>
        <w:t>Client BOQ structure is evidence. VALESCO should enrich it and preserve traceability, not destroy or silently rewrite it.</w:t>
      </w:r>
    </w:p>
    <w:p>
      <w:pPr>
        <w:pStyle w:val="ListBullet"/>
      </w:pPr>
      <w:r>
        <w:t>Real client BOQs must remain private reference material unless sanitised and approved before committing to GitHub.</w:t>
      </w:r>
    </w:p>
    <w:p>
      <w:pPr>
        <w:pStyle w:val="ListBullet"/>
      </w:pPr>
      <w:r>
        <w:t>Each workstream should use a branch, PR, validation note and, where material, a planning document update. GitHub remains the durable memory, not chat history.</w:t>
      </w:r>
    </w:p>
    <w:p>
      <w:pPr>
        <w:pStyle w:val="Heading1"/>
      </w:pPr>
      <w:r>
        <w:t>17. Suggested Codex goal for the next planning branch</w:t>
      </w:r>
    </w:p>
    <w:tbl>
      <w:tblPr>
        <w:tblStyle w:val="TableGrid"/>
        <w:tblW w:type="auto" w:w="0"/>
        <w:jc w:val="center"/>
        <w:tblLook w:firstColumn="1" w:firstRow="1" w:lastColumn="0" w:lastRow="0" w:noHBand="0" w:noVBand="1" w:val="04A0"/>
      </w:tblPr>
      <w:tblGrid>
        <w:gridCol w:w="10224"/>
      </w:tblGrid>
      <w:tr>
        <w:tc>
          <w:tcPr>
            <w:tcW w:type="dxa" w:w="10224"/>
            <w:shd w:fill="F2F6FA"/>
            <w:tcBorders>
              <w:top w:sz="4" w:val="single" w:color="D9E2F3"/>
              <w:left w:sz="4" w:val="single" w:color="D9E2F3"/>
              <w:bottom w:sz="4" w:val="single" w:color="D9E2F3"/>
              <w:right w:sz="4" w:val="single" w:color="D9E2F3"/>
            </w:tcBorders>
          </w:tcPr>
          <w:p>
            <w:r>
              <w:t>Goal:</w:t>
              <w:br/>
              <w:t>Create a planning document for VALESCO usable BOQ workflow v0.1.</w:t>
              <w:br/>
              <w:br/>
              <w:t>Branch:</w:t>
              <w:br/>
              <w:t>planning/usable-boq-workflow-v0.1</w:t>
              <w:br/>
              <w:br/>
              <w:t>Do not change code.</w:t>
              <w:br/>
              <w:t>Do not change tests.</w:t>
              <w:br/>
              <w:t>Do not change runtime behaviour.</w:t>
              <w:br/>
              <w:t>Do not edit library/core, library/packs, engine or governance files.</w:t>
              <w:br/>
              <w:br/>
              <w:t>Create:</w:t>
              <w:br/>
              <w:t>docs/planning/usable_boq_workflow_v0_1.md</w:t>
              <w:br/>
              <w:br/>
              <w:t>The document must define:</w:t>
              <w:br/>
              <w:t>1. Purpose of the BOQ workflow.</w:t>
              <w:br/>
              <w:t>2. Scenario 1: client-provided BOQ as first priority.</w:t>
              <w:br/>
              <w:t>3. Scenario 2: VALESCO-created BOQ as later priority.</w:t>
              <w:br/>
              <w:t>4. Minimum client BOQ fields to import.</w:t>
              <w:br/>
              <w:t>5. Fields to preserve from the original workbook.</w:t>
              <w:br/>
              <w:t>6. Internal VALESCO working fields.</w:t>
              <w:br/>
              <w:t>7. Resource allocation schema: labour, plant, materials, subcontract and preliminaries.</w:t>
              <w:br/>
              <w:t>8. Pricing and export workbook shape.</w:t>
              <w:br/>
              <w:t>9. Warning, clarification and provisional item handling.</w:t>
              <w:br/>
              <w:t>10. Ready-to-price and ready-to-export rules.</w:t>
              <w:br/>
              <w:t>11. Fail-closed rules.</w:t>
              <w:br/>
              <w:t>12. Data protection rule: real client BOQs must not be committed unless sanitised and approved.</w:t>
              <w:br/>
              <w:t>13. Open decisions before implementation.</w:t>
              <w:br/>
              <w:br/>
              <w:t>Base the document on the current v3.7.11 runtime phase model.</w:t>
              <w:br/>
              <w:br/>
              <w:t>Return:</w:t>
              <w:br/>
              <w:t>- files changed</w:t>
              <w:br/>
              <w:t>- exact diff summary</w:t>
              <w:br/>
              <w:t>- open decisions</w:t>
              <w:br/>
              <w:t>- whether the plan is ready for review</w:t>
            </w:r>
          </w:p>
        </w:tc>
      </w:tr>
    </w:tbl>
    <w:p>
      <w:pPr>
        <w:pStyle w:val="Heading1"/>
      </w:pPr>
      <w:r>
        <w:t>Appendix A - Sample client BOQ workbook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Sheet group</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Sheets observed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Cover and instructions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Front Cover AG; Pricing instructions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Summary</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Summary</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Measured work sections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Demolitions; Excavating and filling; Biodiversity; Hard surfacing; Fencing; Soft Landscape; Overflow Car Park; FFE; Signage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Preliminaries and below-line</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Preliminaries; Below the Line Items; Clarifications</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Appendices / rate information</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Appendix A; Appendix B SoR</w:t>
            </w:r>
          </w:p>
        </w:tc>
      </w:tr>
    </w:tbl>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Typical client BOQ field</w:t>
            </w:r>
          </w:p>
        </w:tc>
        <w:tc>
          <w:tcPr>
            <w:tcW w:type="dxa" w:w="5112"/>
            <w:vAlign w:val="top"/>
            <w:shd w:fill="1F4E78"/>
            <w:tcBorders>
              <w:top w:sz="4" w:val="single" w:color="D9E2F3"/>
              <w:left w:sz="4" w:val="single" w:color="D9E2F3"/>
              <w:bottom w:sz="4" w:val="single" w:color="D9E2F3"/>
              <w:right w:sz="4" w:val="single" w:color="D9E2F3"/>
            </w:tcBorders>
          </w:tcPr>
          <w:p>
            <w:pPr>
              <w:spacing w:after="0"/>
            </w:pPr>
            <w:r>
              <w:rPr>
                <w:b/>
                <w:color w:val="FFFFFF"/>
                <w:sz w:val="18"/>
              </w:rPr>
            </w:r>
            <w:r>
              <w:rPr>
                <w:b/>
                <w:color w:val="FFFFFF"/>
                <w:sz w:val="18"/>
              </w:rPr>
              <w:t>VALESCO interpretation</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Ref</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Source line identifier. Must be preserved.</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Element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Primary item description to resolve or classify.</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Qty</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Client quantity. Must be validated before pricing.</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Unit</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Client unit. Must align to rate unit or flag conversion/clarification requirement.</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Rate</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Client-facing output rate. Should come from controlled build-up/rate source.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Total</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Client-facing output total. Should be formula-derived where possible.</w:t>
            </w:r>
          </w:p>
        </w:tc>
      </w:tr>
      <w:tr>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Comments</w:t>
            </w:r>
          </w:p>
        </w:tc>
        <w:tc>
          <w:tcPr>
            <w:tcW w:type="dxa" w:w="5112"/>
            <w:vAlign w:val="top"/>
            <w:tcBorders>
              <w:top w:sz="4" w:val="single" w:color="D9E2F3"/>
              <w:left w:sz="4" w:val="single" w:color="D9E2F3"/>
              <w:bottom w:sz="4" w:val="single" w:color="D9E2F3"/>
              <w:right w:sz="4" w:val="single" w:color="D9E2F3"/>
            </w:tcBorders>
          </w:tcPr>
          <w:p>
            <w:pPr>
              <w:spacing w:after="0"/>
            </w:pPr>
            <w:r>
              <w:rPr>
                <w:sz w:val="18"/>
              </w:rPr>
            </w:r>
            <w:r>
              <w:rPr>
                <w:b w:val="0"/>
                <w:sz w:val="18"/>
              </w:rPr>
              <w:t>Tender notes, assumptions, exclusions, clarifications or pricing status.</w:t>
            </w:r>
          </w:p>
        </w:tc>
      </w:tr>
    </w:tbl>
    <w:p>
      <w:pPr>
        <w:pStyle w:val="Heading1"/>
      </w:pPr>
      <w:r>
        <w:t>Appendix B - Before operational use checklist</w:t>
      </w:r>
    </w:p>
    <w:p>
      <w:pPr>
        <w:pStyle w:val="ListBullet"/>
      </w:pPr>
      <w:r>
        <w:t>Approved output schema exists and is reviewed by an estimator.</w:t>
      </w:r>
    </w:p>
    <w:p>
      <w:pPr>
        <w:pStyle w:val="ListBullet"/>
      </w:pPr>
      <w:r>
        <w:t>Client BOQ importer can identify priceable rows, headings, notes and totals in the sample workbook.</w:t>
      </w:r>
    </w:p>
    <w:p>
      <w:pPr>
        <w:pStyle w:val="ListBullet"/>
      </w:pPr>
      <w:r>
        <w:t>Exporter can write rate, total and comments back to a controlled workbook or produce a separate priced output.</w:t>
      </w:r>
    </w:p>
    <w:p>
      <w:pPr>
        <w:pStyle w:val="ListBullet"/>
      </w:pPr>
      <w:r>
        <w:t>Rate library is controlled, versioned and tested.</w:t>
      </w:r>
    </w:p>
    <w:p>
      <w:pPr>
        <w:pStyle w:val="ListBullet"/>
      </w:pPr>
      <w:r>
        <w:t>Resource allocation build-up is visible and reviewable.</w:t>
      </w:r>
    </w:p>
    <w:p>
      <w:pPr>
        <w:pStyle w:val="ListBullet"/>
      </w:pPr>
      <w:r>
        <w:t>Unknown, ambiguous, provisional and rate-missing states are clearly flagged.</w:t>
      </w:r>
    </w:p>
    <w:p>
      <w:pPr>
        <w:pStyle w:val="ListBullet"/>
      </w:pPr>
      <w:r>
        <w:t>No live CE backend claim is made until real backend validation passes.</w:t>
      </w:r>
    </w:p>
    <w:p>
      <w:pPr>
        <w:pStyle w:val="ListBullet"/>
      </w:pPr>
      <w:r>
        <w:t>Internal trial runbook exists.</w:t>
      </w:r>
    </w:p>
    <w:p>
      <w:pPr>
        <w:pStyle w:val="ListBullet"/>
      </w:pPr>
      <w:r>
        <w:t>Main remains protected and changes continue through PRs and snapshots.</w:t>
      </w:r>
    </w:p>
    <w:p>
      <w:pPr>
        <w:pStyle w:val="Heading1"/>
      </w:pPr>
      <w:r>
        <w:t>Appendix C - Source notes</w:t>
      </w:r>
    </w:p>
    <w:p>
      <w:r>
        <w:t>Project evidence used for this anchor document: merged VALESCO runtime and governance state at v3.7.11, including PR #2, PR #3, PR #4, tag v3.7.11-runtime-reconciled, the uploaded example workbook, and the Phase 2 BOQ-first workflow context agreed after the North Star draft.</w:t>
      </w:r>
    </w:p>
    <w:p>
      <w:r>
        <w:rPr>
          <w:sz w:val="19"/>
        </w:rPr>
        <w:t>External context sources used for future AI and Excel integration direction:</w:t>
      </w:r>
    </w:p>
    <w:p>
      <w:pPr>
        <w:pStyle w:val="ListBullet"/>
      </w:pPr>
      <w:r>
        <w:t>OpenAI Codex cloud documentation: https://developers.openai.com/codex/cloud</w:t>
      </w:r>
    </w:p>
    <w:p>
      <w:pPr>
        <w:pStyle w:val="ListBullet"/>
      </w:pPr>
      <w:r>
        <w:t>OpenAI Agents SDK guide: https://developers.openai.com/api/docs/guides/agents</w:t>
      </w:r>
    </w:p>
    <w:p>
      <w:pPr>
        <w:pStyle w:val="ListBullet"/>
      </w:pPr>
      <w:r>
        <w:t>OpenAI Agents SDK tracing: https://openai.github.io/openai-agents-python/tracing/</w:t>
      </w:r>
    </w:p>
    <w:p>
      <w:pPr>
        <w:pStyle w:val="ListBullet"/>
      </w:pPr>
      <w:r>
        <w:t>Microsoft Graph Excel workbook API: https://learn.microsoft.com/en-us/graph/api/resources/excel?view=graph-rest-1.0</w:t>
      </w:r>
    </w:p>
    <w:p>
      <w:pPr>
        <w:pStyle w:val="ListBullet"/>
      </w:pPr>
      <w:r>
        <w:t>Microsoft Office Scripts documentation: https://learn.microsoft.com/en-us/office/dev/scripts/</w:t>
      </w:r>
    </w:p>
    <w:p>
      <w:pPr>
        <w:pStyle w:val="Heading1"/>
      </w:pPr>
      <w:r>
        <w:t>Closing position</w:t>
      </w:r>
    </w:p>
    <w:tbl>
      <w:tblPr>
        <w:tblW w:type="auto" w:w="0"/>
        <w:jc w:val="center"/>
        <w:tblLook w:firstColumn="1" w:firstRow="1" w:lastColumn="0" w:lastRow="0" w:noHBand="0" w:noVBand="1" w:val="04A0"/>
      </w:tblPr>
      <w:tblGrid>
        <w:gridCol w:w="10224"/>
      </w:tblGrid>
      <w:tr>
        <w:tc>
          <w:tcPr>
            <w:tcW w:type="dxa" w:w="10224"/>
            <w:shd w:fill="EAF2F8"/>
            <w:tcBorders>
              <w:top w:sz="8" w:val="single" w:color="5B9BD5"/>
              <w:left w:sz="8" w:val="single" w:color="5B9BD5"/>
              <w:bottom w:sz="8" w:val="single" w:color="5B9BD5"/>
              <w:right w:sz="8" w:val="single" w:color="5B9BD5"/>
            </w:tcBorders>
          </w:tcPr>
          <w:p>
            <w:pPr>
              <w:spacing w:after="80"/>
            </w:pPr>
            <w:r>
              <w:rPr>
                <w:b/>
                <w:color w:val="1F4E79"/>
                <w:sz w:val="20"/>
              </w:rPr>
              <w:t>North Star</w:t>
            </w:r>
          </w:p>
          <w:p>
            <w:pPr>
              <w:spacing w:after="0"/>
            </w:pPr>
            <w:r>
              <w:rPr>
                <w:sz w:val="18"/>
              </w:rPr>
              <w:t>Deliver the smallest operational VALESCO that can help an estimator import or create a BOQ, allocate resources, price from controlled rates, export to Excel, and keep the estimator in control. This is the bridge between today's spreadsheet estimating process and tomorrow's AI-assisted estimating tools.</w:t>
            </w:r>
          </w:p>
        </w:tc>
      </w:tr>
    </w:tbl>
    <w:sectPr>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VALESCO North Star and Roadmap v3.7.11 - controlled development anchor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VALESCO North Star and Roadmap v3.7.11 - BOQ Phase 2 update</dc:title>
  <dc:subject>BOQ-first Phase 2 context and operating model</dc:subject>
  <dc:creator/>
  <cp:keywords>VALESCO, BOQ, Excel, estimating, roadmap, v3.7.11</cp:keywords>
  <dc:description>generated by python-docx</dc:description>
  <cp:lastModifiedBy/>
  <cp:revision>1</cp:revision>
  <dcterms:created xsi:type="dcterms:W3CDTF">2013-12-23T23:15:00Z</dcterms:created>
  <dcterms:modified xsi:type="dcterms:W3CDTF">2013-12-23T23:15:00Z</dcterms:modified>
  <cp:category/>
</cp:coreProperties>
</file>