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Krewby Workforce Platform</w:t>
      </w:r>
    </w:p>
    <w:p>
      <w:pPr>
        <w:spacing w:after="80"/>
        <w:jc w:val="center"/>
      </w:pPr>
      <w:r>
        <w:rPr>
          <w:color w:val="64748B"/>
          <w:sz w:val="24"/>
          <w:szCs w:val="24"/>
        </w:rPr>
        <w:t xml:space="preserve">Employee Leave Policy</w:t>
      </w:r>
    </w:p>
    <w:p>
      <w:pPr>
        <w:spacing w:after="80"/>
        <w:jc w:val="center"/>
      </w:pPr>
      <w:r>
        <w:rPr>
          <w:color w:val="64748B"/>
          <w:sz w:val="24"/>
          <w:szCs w:val="24"/>
        </w:rPr>
        <w:t xml:space="preserve">Effective: January 2025  |  Version 1.0</w:t>
      </w:r>
    </w:p>
    <w:p>
      <w:pPr>
        <w:spacing w:after="100" w:before="100"/>
      </w:pPr>
      <w:r>
        <w:t xml:space="preserve"/>
      </w:r>
    </w:p>
    <w:p>
      <w:pPr>
        <w:pStyle w:val="Heading1"/>
        <w:pBdr>
          <w:bottom w:val="single" w:color="F59E0B" w:sz="6" w:space="4"/>
        </w:pBdr>
        <w:spacing w:after="120" w:before="320"/>
      </w:pPr>
      <w:r>
        <w:t xml:space="preserve">1. Purpose</w:t>
      </w:r>
    </w:p>
    <w:p>
      <w:pPr>
        <w:spacing w:after="100"/>
      </w:pPr>
      <w:r>
        <w:rPr>
          <w:sz w:val="22"/>
          <w:szCs w:val="22"/>
        </w:rPr>
        <w:t xml:space="preserve">This policy outlines the leave entitlements, application procedures, and approval workflows for all staff employed through the Krewby Workforce Management Platform. It applies to regular (full-time/part-time) and casual staff working at all registered business branches.</w:t>
      </w:r>
    </w:p>
    <w:p>
      <w:pPr>
        <w:pStyle w:val="Heading1"/>
        <w:pBdr>
          <w:bottom w:val="single" w:color="F59E0B" w:sz="6" w:space="4"/>
        </w:pBdr>
        <w:spacing w:after="120" w:before="320"/>
      </w:pPr>
      <w:r>
        <w:t xml:space="preserve">2. Leave Entitlements</w:t>
      </w:r>
    </w:p>
    <w:p>
      <w:pPr>
        <w:pStyle w:val="Heading2"/>
        <w:spacing w:after="80" w:before="200"/>
      </w:pPr>
      <w:r>
        <w:t xml:space="preserve">2.1 Annual Leave</w:t>
      </w:r>
    </w:p>
    <w:p>
      <w:pPr>
        <w:spacing w:after="100"/>
      </w:pPr>
      <w:r>
        <w:rPr>
          <w:sz w:val="22"/>
          <w:szCs w:val="22"/>
        </w:rPr>
        <w:t xml:space="preserve">Regular staff are entitled to paid annual leave based on length of service: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500"/>
        <w:gridCol w:w="4500"/>
      </w:tblGrid>
      <w:tr>
        <w:trPr>
          <w:tblHeader/>
        </w:trPr>
        <w:tc>
          <w:tcPr>
            <w:tcW w:type="dxa" w:w="4500"/>
            <w:shd w:fill="1E293B" w:val="clear"/>
          </w:tcPr>
          <w:p>
            <w:r>
              <w:rPr>
                <w:b/>
                <w:bCs/>
                <w:color w:val="FFFFFF"/>
                <w:sz w:val="20"/>
                <w:szCs w:val="20"/>
              </w:rPr>
              <w:t xml:space="preserve">Length of Service</w:t>
            </w:r>
          </w:p>
        </w:tc>
        <w:tc>
          <w:tcPr>
            <w:tcW w:type="dxa" w:w="4500"/>
            <w:shd w:fill="1E293B" w:val="clear"/>
          </w:tcPr>
          <w:p>
            <w:r>
              <w:rPr>
                <w:b/>
                <w:bCs/>
                <w:color w:val="FFFFFF"/>
                <w:sz w:val="20"/>
                <w:szCs w:val="20"/>
              </w:rPr>
              <w:t xml:space="preserve">Annual Leave Days</w:t>
            </w:r>
          </w:p>
        </w:tc>
      </w:tr>
      <w:tr>
        <w:tc>
          <w:tcPr>
            <w:tcW w:type="dxa" w:w="4500"/>
            <w:shd w:fill="F8FAFC" w:val="clear"/>
          </w:tcPr>
          <w:p>
            <w:r>
              <w:rPr>
                <w:sz w:val="20"/>
                <w:szCs w:val="20"/>
              </w:rPr>
              <w:t xml:space="preserve">Less than 1 year</w:t>
            </w:r>
          </w:p>
        </w:tc>
        <w:tc>
          <w:tcPr>
            <w:tcW w:type="dxa" w:w="4500"/>
            <w:shd w:fill="F8FAFC" w:val="clear"/>
          </w:tcPr>
          <w:p>
            <w:r>
              <w:rPr>
                <w:sz w:val="20"/>
                <w:szCs w:val="20"/>
              </w:rPr>
              <w:t xml:space="preserve">Pro-rated (1.17 days per month)</w:t>
            </w:r>
          </w:p>
        </w:tc>
      </w:tr>
      <w:tr>
        <w:tc>
          <w:tcPr>
            <w:tcW w:type="dxa" w:w="4500"/>
            <w:shd w:fill="FFFFFF" w:val="clear"/>
          </w:tcPr>
          <w:p>
            <w:r>
              <w:rPr>
                <w:sz w:val="20"/>
                <w:szCs w:val="20"/>
              </w:rPr>
              <w:t xml:space="preserve">1 – 2 years</w:t>
            </w:r>
          </w:p>
        </w:tc>
        <w:tc>
          <w:tcPr>
            <w:tcW w:type="dxa" w:w="4500"/>
            <w:shd w:fill="FFFFFF" w:val="clear"/>
          </w:tcPr>
          <w:p>
            <w:r>
              <w:rPr>
                <w:sz w:val="20"/>
                <w:szCs w:val="20"/>
              </w:rPr>
              <w:t xml:space="preserve">14 days per year</w:t>
            </w:r>
          </w:p>
        </w:tc>
      </w:tr>
      <w:tr>
        <w:tc>
          <w:tcPr>
            <w:tcW w:type="dxa" w:w="4500"/>
            <w:shd w:fill="F8FAFC" w:val="clear"/>
          </w:tcPr>
          <w:p>
            <w:r>
              <w:rPr>
                <w:sz w:val="20"/>
                <w:szCs w:val="20"/>
              </w:rPr>
              <w:t xml:space="preserve">2 – 5 years</w:t>
            </w:r>
          </w:p>
        </w:tc>
        <w:tc>
          <w:tcPr>
            <w:tcW w:type="dxa" w:w="4500"/>
            <w:shd w:fill="F8FAFC" w:val="clear"/>
          </w:tcPr>
          <w:p>
            <w:r>
              <w:rPr>
                <w:sz w:val="20"/>
                <w:szCs w:val="20"/>
              </w:rPr>
              <w:t xml:space="preserve">16 days per year</w:t>
            </w:r>
          </w:p>
        </w:tc>
      </w:tr>
      <w:tr>
        <w:tc>
          <w:tcPr>
            <w:tcW w:type="dxa" w:w="4500"/>
            <w:shd w:fill="FFFFFF" w:val="clear"/>
          </w:tcPr>
          <w:p>
            <w:r>
              <w:rPr>
                <w:sz w:val="20"/>
                <w:szCs w:val="20"/>
              </w:rPr>
              <w:t xml:space="preserve">5+ years</w:t>
            </w:r>
          </w:p>
        </w:tc>
        <w:tc>
          <w:tcPr>
            <w:tcW w:type="dxa" w:w="4500"/>
            <w:shd w:fill="FFFFFF" w:val="clear"/>
          </w:tcPr>
          <w:p>
            <w:r>
              <w:rPr>
                <w:sz w:val="20"/>
                <w:szCs w:val="20"/>
              </w:rPr>
              <w:t xml:space="preserve">18 days per year</w:t>
            </w:r>
          </w:p>
        </w:tc>
      </w:tr>
    </w:tbl>
    <w:p>
      <w:pPr>
        <w:spacing w:after="100" w:before="100"/>
      </w:pPr>
      <w:r>
        <w:t xml:space="preserve"/>
      </w:r>
    </w:p>
    <w:p>
      <w:pPr>
        <w:spacing w:after="100"/>
      </w:pPr>
      <w:r>
        <w:rPr>
          <w:sz w:val="22"/>
          <w:szCs w:val="22"/>
        </w:rPr>
        <w:t xml:space="preserve">Casual staff are not entitled to paid annual leave. Casual staff may apply for unpaid time off, subject to manager approval and operational requirements.</w:t>
      </w:r>
    </w:p>
    <w:p>
      <w:pPr>
        <w:pStyle w:val="Heading2"/>
        <w:spacing w:after="80" w:before="200"/>
      </w:pPr>
      <w:r>
        <w:t xml:space="preserve">2.2 Sick Leave (Medical Leave)</w:t>
      </w:r>
    </w:p>
    <w:p>
      <w:pPr>
        <w:spacing w:after="100"/>
      </w:pPr>
      <w:r>
        <w:rPr>
          <w:sz w:val="22"/>
          <w:szCs w:val="22"/>
        </w:rPr>
        <w:t xml:space="preserve">Regular staff are entitled to the following paid sick leave per calendar year, in accordance with the Singapore Employment Act:</w:t>
      </w:r>
    </w:p>
    <w:p>
      <w:pPr>
        <w:pStyle w:val="ListParagraph"/>
        <w:numPr>
          <w:ilvl w:val="0"/>
          <w:numId w:val="1"/>
        </w:numPr>
        <w:spacing w:after="80"/>
      </w:pPr>
      <w:r>
        <w:rPr>
          <w:sz w:val="22"/>
          <w:szCs w:val="22"/>
        </w:rPr>
        <w:t xml:space="preserve">14 days outpatient sick leave</w:t>
      </w:r>
    </w:p>
    <w:p>
      <w:pPr>
        <w:pStyle w:val="ListParagraph"/>
        <w:numPr>
          <w:ilvl w:val="0"/>
          <w:numId w:val="1"/>
        </w:numPr>
        <w:spacing w:after="80"/>
      </w:pPr>
      <w:r>
        <w:rPr>
          <w:sz w:val="22"/>
          <w:szCs w:val="22"/>
        </w:rPr>
        <w:t xml:space="preserve">60 days hospitalisation leave (inclusive of the 14 days outpatient sick leave)</w:t>
      </w:r>
    </w:p>
    <w:p>
      <w:pPr>
        <w:spacing w:after="100"/>
      </w:pPr>
      <w:r>
        <w:rPr>
          <w:sz w:val="22"/>
          <w:szCs w:val="22"/>
        </w:rPr>
        <w:t xml:space="preserve">A valid medical certificate (MC) from a registered doctor must be submitted within 48 hours of the absence. Sick leave without an MC will be treated as unpaid leave.</w:t>
      </w:r>
    </w:p>
    <w:p>
      <w:pPr>
        <w:spacing w:after="100"/>
      </w:pPr>
      <w:r>
        <w:rPr>
          <w:i/>
          <w:iCs/>
          <w:color w:val="666666"/>
          <w:sz w:val="20"/>
          <w:szCs w:val="20"/>
        </w:rPr>
        <w:t xml:space="preserve">Note: Casual staff are not entitled to paid sick leave under the Employment Act. However, managers should exercise reasonable compassion for genuine illness and may approve unpaid leave.</w:t>
      </w:r>
    </w:p>
    <w:p>
      <w:pPr>
        <w:pStyle w:val="Heading2"/>
        <w:spacing w:after="80" w:before="200"/>
      </w:pPr>
      <w:r>
        <w:t xml:space="preserve">2.3 Emergency / Compassionate Leave</w:t>
      </w:r>
    </w:p>
    <w:p>
      <w:pPr>
        <w:spacing w:after="100"/>
      </w:pPr>
      <w:r>
        <w:rPr>
          <w:sz w:val="22"/>
          <w:szCs w:val="22"/>
        </w:rPr>
        <w:t xml:space="preserve">Staff may apply for up to 3 days of paid emergency leave per year for the following situations:</w:t>
      </w:r>
    </w:p>
    <w:p>
      <w:pPr>
        <w:pStyle w:val="ListParagraph"/>
        <w:numPr>
          <w:ilvl w:val="0"/>
          <w:numId w:val="1"/>
        </w:numPr>
        <w:spacing w:after="80"/>
      </w:pPr>
      <w:r>
        <w:rPr>
          <w:sz w:val="22"/>
          <w:szCs w:val="22"/>
        </w:rPr>
        <w:t xml:space="preserve">Death of an immediate family member (parent, spouse, child, sibling)</w:t>
      </w:r>
    </w:p>
    <w:p>
      <w:pPr>
        <w:pStyle w:val="ListParagraph"/>
        <w:numPr>
          <w:ilvl w:val="0"/>
          <w:numId w:val="1"/>
        </w:numPr>
        <w:spacing w:after="80"/>
      </w:pPr>
      <w:r>
        <w:rPr>
          <w:sz w:val="22"/>
          <w:szCs w:val="22"/>
        </w:rPr>
        <w:t xml:space="preserve">Serious illness of an immediate family member requiring hospitalisation</w:t>
      </w:r>
    </w:p>
    <w:p>
      <w:pPr>
        <w:pStyle w:val="ListParagraph"/>
        <w:numPr>
          <w:ilvl w:val="0"/>
          <w:numId w:val="1"/>
        </w:numPr>
        <w:spacing w:after="80"/>
      </w:pPr>
      <w:r>
        <w:rPr>
          <w:sz w:val="22"/>
          <w:szCs w:val="22"/>
        </w:rPr>
        <w:t xml:space="preserve">Home emergency (fire, flood, or similar)</w:t>
      </w:r>
    </w:p>
    <w:p>
      <w:pPr>
        <w:spacing w:after="100"/>
      </w:pPr>
      <w:r>
        <w:rPr>
          <w:sz w:val="22"/>
          <w:szCs w:val="22"/>
        </w:rPr>
        <w:t xml:space="preserve">Documentation (e.g. death certificate, hospital admission letter) should be provided upon return.</w:t>
      </w:r>
    </w:p>
    <w:p>
      <w:pPr>
        <w:pStyle w:val="Heading2"/>
        <w:spacing w:after="80" w:before="200"/>
      </w:pPr>
      <w:r>
        <w:t xml:space="preserve">2.4 Maternity and Paternity Leave</w:t>
      </w:r>
    </w:p>
    <w:p>
      <w:pPr>
        <w:spacing w:after="100"/>
      </w:pPr>
      <w:r>
        <w:rPr>
          <w:sz w:val="22"/>
          <w:szCs w:val="22"/>
        </w:rPr>
        <w:t xml:space="preserve">Maternity and paternity leave entitlements are governed by the Singapore Employment Act and Child Development Co-Savings Act (CDCA):</w:t>
      </w:r>
    </w:p>
    <w:p>
      <w:pPr>
        <w:pStyle w:val="ListParagraph"/>
        <w:numPr>
          <w:ilvl w:val="0"/>
          <w:numId w:val="1"/>
        </w:numPr>
        <w:spacing w:after="80"/>
      </w:pPr>
      <w:r>
        <w:rPr>
          <w:sz w:val="22"/>
          <w:szCs w:val="22"/>
        </w:rPr>
        <w:t xml:space="preserve">Mothers: 16 weeks of maternity leave (for Singapore Citizen children)</w:t>
      </w:r>
    </w:p>
    <w:p>
      <w:pPr>
        <w:pStyle w:val="ListParagraph"/>
        <w:numPr>
          <w:ilvl w:val="0"/>
          <w:numId w:val="1"/>
        </w:numPr>
        <w:spacing w:after="80"/>
      </w:pPr>
      <w:r>
        <w:rPr>
          <w:sz w:val="22"/>
          <w:szCs w:val="22"/>
        </w:rPr>
        <w:t xml:space="preserve">Fathers: 2 weeks of government-paid paternity leave</w:t>
      </w:r>
    </w:p>
    <w:p>
      <w:pPr>
        <w:spacing w:after="100"/>
      </w:pPr>
      <w:r>
        <w:rPr>
          <w:sz w:val="22"/>
          <w:szCs w:val="22"/>
        </w:rPr>
        <w:t xml:space="preserve">Staff should notify their manager and submit the appropriate documentation at least 4 weeks before the expected leave commencement date.</w:t>
      </w:r>
    </w:p>
    <w:p>
      <w:pPr>
        <w:pStyle w:val="Heading2"/>
        <w:spacing w:after="80" w:before="200"/>
      </w:pPr>
      <w:r>
        <w:t xml:space="preserve">2.5 Public Holidays</w:t>
      </w:r>
    </w:p>
    <w:p>
      <w:pPr>
        <w:spacing w:after="100"/>
      </w:pPr>
      <w:r>
        <w:rPr>
          <w:sz w:val="22"/>
          <w:szCs w:val="22"/>
        </w:rPr>
        <w:t xml:space="preserve">All staff are entitled to 11 Singapore gazetted public holidays per year. If a public holiday falls on a rest day, the next working day is treated as the public holiday. Staff required to work on a public holiday will receive an additional day's pay or time-off-in-lieu, as agreed with their manager.</w:t>
      </w:r>
    </w:p>
    <w:p>
      <w:pPr>
        <w:pStyle w:val="Heading2"/>
        <w:spacing w:after="80" w:before="200"/>
      </w:pPr>
      <w:r>
        <w:t xml:space="preserve">2.6 Leave Without Pay (LWOP)</w:t>
      </w:r>
    </w:p>
    <w:p>
      <w:pPr>
        <w:spacing w:after="100"/>
      </w:pPr>
      <w:r>
        <w:rPr>
          <w:sz w:val="22"/>
          <w:szCs w:val="22"/>
        </w:rPr>
        <w:t xml:space="preserve">Staff may apply for unpaid leave for personal reasons after exhausting their paid leave entitlements. LWOP is granted at the manager's discretion and subject to operational needs. Prolonged LWOP may affect CPF contributions and service continuity.</w:t>
      </w:r>
    </w:p>
    <w:p>
      <w:pPr>
        <w:pStyle w:val="Heading1"/>
        <w:pBdr>
          <w:bottom w:val="single" w:color="F59E0B" w:sz="6" w:space="4"/>
        </w:pBdr>
        <w:spacing w:after="120" w:before="320"/>
      </w:pPr>
      <w:r>
        <w:t xml:space="preserve">3. Leave Application Process</w:t>
      </w:r>
    </w:p>
    <w:p>
      <w:pPr>
        <w:pStyle w:val="Heading2"/>
        <w:spacing w:after="80" w:before="200"/>
      </w:pPr>
      <w:r>
        <w:t xml:space="preserve">3.1 How to Apply</w:t>
      </w:r>
    </w:p>
    <w:p>
      <w:pPr>
        <w:spacing w:after="100"/>
      </w:pPr>
      <w:r>
        <w:rPr>
          <w:sz w:val="22"/>
          <w:szCs w:val="22"/>
        </w:rPr>
        <w:t xml:space="preserve">All leave requests must be submitted through the Krewby platform:</w:t>
      </w:r>
    </w:p>
    <w:p>
      <w:pPr>
        <w:pStyle w:val="ListParagraph"/>
        <w:numPr>
          <w:ilvl w:val="0"/>
          <w:numId w:val="1"/>
        </w:numPr>
        <w:spacing w:after="80"/>
      </w:pPr>
      <w:r>
        <w:rPr>
          <w:sz w:val="22"/>
          <w:szCs w:val="22"/>
        </w:rPr>
        <w:t xml:space="preserve">Log in to Krewby → navigate to Leave Requests → click Submit Leave Request</w:t>
      </w:r>
    </w:p>
    <w:p>
      <w:pPr>
        <w:pStyle w:val="ListParagraph"/>
        <w:numPr>
          <w:ilvl w:val="0"/>
          <w:numId w:val="1"/>
        </w:numPr>
        <w:spacing w:after="80"/>
      </w:pPr>
      <w:r>
        <w:rPr>
          <w:sz w:val="22"/>
          <w:szCs w:val="22"/>
        </w:rPr>
        <w:t xml:space="preserve">Select leave type, start date, end date, and provide a reason</w:t>
      </w:r>
    </w:p>
    <w:p>
      <w:pPr>
        <w:pStyle w:val="ListParagraph"/>
        <w:numPr>
          <w:ilvl w:val="0"/>
          <w:numId w:val="1"/>
        </w:numPr>
        <w:spacing w:after="80"/>
      </w:pPr>
      <w:r>
        <w:rPr>
          <w:sz w:val="22"/>
          <w:szCs w:val="22"/>
        </w:rPr>
        <w:t xml:space="preserve">The system will notify your branch manager automatically</w:t>
      </w:r>
    </w:p>
    <w:p>
      <w:pPr>
        <w:pStyle w:val="ListParagraph"/>
        <w:numPr>
          <w:ilvl w:val="0"/>
          <w:numId w:val="1"/>
        </w:numPr>
        <w:spacing w:after="80"/>
      </w:pPr>
      <w:r>
        <w:rPr>
          <w:sz w:val="22"/>
          <w:szCs w:val="22"/>
        </w:rPr>
        <w:t xml:space="preserve">You will receive a notification once your request is approved or rejected</w:t>
      </w:r>
    </w:p>
    <w:p>
      <w:pPr>
        <w:pStyle w:val="Heading2"/>
        <w:spacing w:after="80" w:before="200"/>
      </w:pPr>
      <w:r>
        <w:t xml:space="preserve">3.2 Advance Notice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0"/>
        <w:gridCol w:w="5000"/>
      </w:tblGrid>
      <w:tr>
        <w:trPr>
          <w:tblHeader/>
        </w:trPr>
        <w:tc>
          <w:tcPr>
            <w:tcW w:type="dxa" w:w="4000"/>
            <w:shd w:fill="1E293B" w:val="clear"/>
          </w:tcPr>
          <w:p>
            <w:r>
              <w:rPr>
                <w:b/>
                <w:bCs/>
                <w:color w:val="FFFFFF"/>
                <w:sz w:val="20"/>
                <w:szCs w:val="20"/>
              </w:rPr>
              <w:t xml:space="preserve">Leave Type</w:t>
            </w:r>
          </w:p>
        </w:tc>
        <w:tc>
          <w:tcPr>
            <w:tcW w:type="dxa" w:w="5000"/>
            <w:shd w:fill="1E293B" w:val="clear"/>
          </w:tcPr>
          <w:p>
            <w:r>
              <w:rPr>
                <w:b/>
                <w:bCs/>
                <w:color w:val="FFFFFF"/>
                <w:sz w:val="20"/>
                <w:szCs w:val="20"/>
              </w:rPr>
              <w:t xml:space="preserve">Minimum Notice</w:t>
            </w:r>
          </w:p>
        </w:tc>
      </w:tr>
      <w:tr>
        <w:tc>
          <w:tcPr>
            <w:tcW w:type="dxa" w:w="4000"/>
            <w:shd w:fill="F8FAFC" w:val="clear"/>
          </w:tcPr>
          <w:p>
            <w:r>
              <w:rPr>
                <w:sz w:val="20"/>
                <w:szCs w:val="20"/>
              </w:rPr>
              <w:t xml:space="preserve">Annual Leave</w:t>
            </w:r>
          </w:p>
        </w:tc>
        <w:tc>
          <w:tcPr>
            <w:tcW w:type="dxa" w:w="5000"/>
            <w:shd w:fill="F8FAFC" w:val="clear"/>
          </w:tcPr>
          <w:p>
            <w:r>
              <w:rPr>
                <w:sz w:val="20"/>
                <w:szCs w:val="20"/>
              </w:rPr>
              <w:t xml:space="preserve">At least 48 hours in advance</w:t>
            </w:r>
          </w:p>
        </w:tc>
      </w:tr>
      <w:tr>
        <w:tc>
          <w:tcPr>
            <w:tcW w:type="dxa" w:w="4000"/>
            <w:shd w:fill="FFFFFF" w:val="clear"/>
          </w:tcPr>
          <w:p>
            <w:r>
              <w:rPr>
                <w:sz w:val="20"/>
                <w:szCs w:val="20"/>
              </w:rPr>
              <w:t xml:space="preserve">Emergency / Compassionate</w:t>
            </w:r>
          </w:p>
        </w:tc>
        <w:tc>
          <w:tcPr>
            <w:tcW w:type="dxa" w:w="5000"/>
            <w:shd w:fill="FFFFFF" w:val="clear"/>
          </w:tcPr>
          <w:p>
            <w:r>
              <w:rPr>
                <w:sz w:val="20"/>
                <w:szCs w:val="20"/>
              </w:rPr>
              <w:t xml:space="preserve">As soon as possible; inform manager by phone first</w:t>
            </w:r>
          </w:p>
        </w:tc>
      </w:tr>
      <w:tr>
        <w:tc>
          <w:tcPr>
            <w:tcW w:type="dxa" w:w="4000"/>
            <w:shd w:fill="F8FAFC" w:val="clear"/>
          </w:tcPr>
          <w:p>
            <w:r>
              <w:rPr>
                <w:sz w:val="20"/>
                <w:szCs w:val="20"/>
              </w:rPr>
              <w:t xml:space="preserve">Sick Leave</w:t>
            </w:r>
          </w:p>
        </w:tc>
        <w:tc>
          <w:tcPr>
            <w:tcW w:type="dxa" w:w="5000"/>
            <w:shd w:fill="F8FAFC" w:val="clear"/>
          </w:tcPr>
          <w:p>
            <w:r>
              <w:rPr>
                <w:sz w:val="20"/>
                <w:szCs w:val="20"/>
              </w:rPr>
              <w:t xml:space="preserve">Notify manager before or at the start of your shift</w:t>
            </w:r>
          </w:p>
        </w:tc>
      </w:tr>
      <w:tr>
        <w:tc>
          <w:tcPr>
            <w:tcW w:type="dxa" w:w="4000"/>
            <w:shd w:fill="FFFFFF" w:val="clear"/>
          </w:tcPr>
          <w:p>
            <w:r>
              <w:rPr>
                <w:sz w:val="20"/>
                <w:szCs w:val="20"/>
              </w:rPr>
              <w:t xml:space="preserve">Maternity / Paternity</w:t>
            </w:r>
          </w:p>
        </w:tc>
        <w:tc>
          <w:tcPr>
            <w:tcW w:type="dxa" w:w="5000"/>
            <w:shd w:fill="FFFFFF" w:val="clear"/>
          </w:tcPr>
          <w:p>
            <w:r>
              <w:rPr>
                <w:sz w:val="20"/>
                <w:szCs w:val="20"/>
              </w:rPr>
              <w:t xml:space="preserve">At least 4 weeks in advance</w:t>
            </w:r>
          </w:p>
        </w:tc>
      </w:tr>
      <w:tr>
        <w:tc>
          <w:tcPr>
            <w:tcW w:type="dxa" w:w="4000"/>
            <w:shd w:fill="F8FAFC" w:val="clear"/>
          </w:tcPr>
          <w:p>
            <w:r>
              <w:rPr>
                <w:sz w:val="20"/>
                <w:szCs w:val="20"/>
              </w:rPr>
              <w:t xml:space="preserve">Leave Without Pay</w:t>
            </w:r>
          </w:p>
        </w:tc>
        <w:tc>
          <w:tcPr>
            <w:tcW w:type="dxa" w:w="5000"/>
            <w:shd w:fill="F8FAFC" w:val="clear"/>
          </w:tcPr>
          <w:p>
            <w:r>
              <w:rPr>
                <w:sz w:val="20"/>
                <w:szCs w:val="20"/>
              </w:rPr>
              <w:t xml:space="preserve">At least 1 week in advance</w:t>
            </w:r>
          </w:p>
        </w:tc>
      </w:tr>
    </w:tbl>
    <w:p>
      <w:pPr>
        <w:pStyle w:val="Heading2"/>
        <w:spacing w:after="80" w:before="200"/>
      </w:pPr>
      <w:r>
        <w:t xml:space="preserve">3.3 Manager Approval</w:t>
      </w:r>
    </w:p>
    <w:p>
      <w:pPr>
        <w:spacing w:after="100"/>
      </w:pPr>
      <w:r>
        <w:rPr>
          <w:sz w:val="22"/>
          <w:szCs w:val="22"/>
        </w:rPr>
        <w:t xml:space="preserve">Managers are required to approve or reject leave requests within 24 hours of receipt via the Krewby platform. When evaluating leave requests, managers should consider:</w:t>
      </w:r>
    </w:p>
    <w:p>
      <w:pPr>
        <w:pStyle w:val="ListParagraph"/>
        <w:numPr>
          <w:ilvl w:val="0"/>
          <w:numId w:val="1"/>
        </w:numPr>
        <w:spacing w:after="80"/>
      </w:pPr>
      <w:r>
        <w:rPr>
          <w:sz w:val="22"/>
          <w:szCs w:val="22"/>
        </w:rPr>
        <w:t xml:space="preserve">Operational staffing levels — ensure the branch remains adequately staffed</w:t>
      </w:r>
    </w:p>
    <w:p>
      <w:pPr>
        <w:pStyle w:val="ListParagraph"/>
        <w:numPr>
          <w:ilvl w:val="0"/>
          <w:numId w:val="1"/>
        </w:numPr>
        <w:spacing w:after="80"/>
      </w:pPr>
      <w:r>
        <w:rPr>
          <w:sz w:val="22"/>
          <w:szCs w:val="22"/>
        </w:rPr>
        <w:t xml:space="preserve">Existing approved leave for the same period</w:t>
      </w:r>
    </w:p>
    <w:p>
      <w:pPr>
        <w:pStyle w:val="ListParagraph"/>
        <w:numPr>
          <w:ilvl w:val="0"/>
          <w:numId w:val="1"/>
        </w:numPr>
        <w:spacing w:after="80"/>
      </w:pPr>
      <w:r>
        <w:rPr>
          <w:sz w:val="22"/>
          <w:szCs w:val="22"/>
        </w:rPr>
        <w:t xml:space="preserve">Fairness and staff wellbeing</w:t>
      </w:r>
    </w:p>
    <w:p>
      <w:pPr>
        <w:spacing w:after="100"/>
      </w:pPr>
      <w:r>
        <w:rPr>
          <w:sz w:val="22"/>
          <w:szCs w:val="22"/>
        </w:rPr>
        <w:t xml:space="preserve">Rejection must include a brief reason. Staff may escalate to the business owner if they believe a rejection is unreasonable.</w:t>
      </w:r>
    </w:p>
    <w:p>
      <w:pPr>
        <w:pStyle w:val="Heading1"/>
        <w:pBdr>
          <w:bottom w:val="single" w:color="F59E0B" w:sz="6" w:space="4"/>
        </w:pBdr>
        <w:spacing w:after="120" w:before="320"/>
      </w:pPr>
      <w:r>
        <w:t xml:space="preserve">4. Leave Balance and Records</w:t>
      </w:r>
    </w:p>
    <w:p>
      <w:pPr>
        <w:spacing w:after="100"/>
      </w:pPr>
      <w:r>
        <w:rPr>
          <w:sz w:val="22"/>
          <w:szCs w:val="22"/>
        </w:rPr>
        <w:t xml:space="preserve">Staff can view their current leave balances and leave history at any time in the Krewby platform under the Leave section. Leave records are maintained by the system. Managers should not maintain separate leave records to avoid discrepancies.</w:t>
      </w:r>
    </w:p>
    <w:p>
      <w:pPr>
        <w:spacing w:after="100"/>
      </w:pPr>
      <w:r>
        <w:rPr>
          <w:sz w:val="22"/>
          <w:szCs w:val="22"/>
        </w:rPr>
        <w:t xml:space="preserve">Unused annual leave as of 31 December each year:</w:t>
      </w:r>
    </w:p>
    <w:p>
      <w:pPr>
        <w:pStyle w:val="ListParagraph"/>
        <w:numPr>
          <w:ilvl w:val="0"/>
          <w:numId w:val="1"/>
        </w:numPr>
        <w:spacing w:after="80"/>
      </w:pPr>
      <w:r>
        <w:rPr>
          <w:sz w:val="22"/>
          <w:szCs w:val="22"/>
        </w:rPr>
        <w:t xml:space="preserve">Up to 5 days may be carried forward to the next year</w:t>
      </w:r>
    </w:p>
    <w:p>
      <w:pPr>
        <w:pStyle w:val="ListParagraph"/>
        <w:numPr>
          <w:ilvl w:val="0"/>
          <w:numId w:val="1"/>
        </w:numPr>
        <w:spacing w:after="80"/>
      </w:pPr>
      <w:r>
        <w:rPr>
          <w:sz w:val="22"/>
          <w:szCs w:val="22"/>
        </w:rPr>
        <w:t xml:space="preserve">Remaining unused leave beyond 5 days is forfeited unless otherwise agreed in writing</w:t>
      </w:r>
    </w:p>
    <w:p>
      <w:pPr>
        <w:pStyle w:val="ListParagraph"/>
        <w:numPr>
          <w:ilvl w:val="0"/>
          <w:numId w:val="1"/>
        </w:numPr>
        <w:spacing w:after="80"/>
      </w:pPr>
      <w:r>
        <w:rPr>
          <w:sz w:val="22"/>
          <w:szCs w:val="22"/>
        </w:rPr>
        <w:t xml:space="preserve">Leave encashment upon resignation: any remaining annual leave balance will be paid out</w:t>
      </w:r>
    </w:p>
    <w:p>
      <w:pPr>
        <w:pStyle w:val="Heading1"/>
        <w:pBdr>
          <w:bottom w:val="single" w:color="F59E0B" w:sz="6" w:space="4"/>
        </w:pBdr>
        <w:spacing w:after="120" w:before="320"/>
      </w:pPr>
      <w:r>
        <w:t xml:space="preserve">5. Abuse of Leave</w:t>
      </w:r>
    </w:p>
    <w:p>
      <w:pPr>
        <w:spacing w:after="100"/>
      </w:pPr>
      <w:r>
        <w:rPr>
          <w:sz w:val="22"/>
          <w:szCs w:val="22"/>
        </w:rPr>
        <w:t xml:space="preserve">The following will be treated as leave abuse and may result in disciplinary action:</w:t>
      </w:r>
    </w:p>
    <w:p>
      <w:pPr>
        <w:pStyle w:val="ListParagraph"/>
        <w:numPr>
          <w:ilvl w:val="0"/>
          <w:numId w:val="1"/>
        </w:numPr>
        <w:spacing w:after="80"/>
      </w:pPr>
      <w:r>
        <w:rPr>
          <w:sz w:val="22"/>
          <w:szCs w:val="22"/>
        </w:rPr>
        <w:t xml:space="preserve">Claiming sick leave without a genuine medical reason</w:t>
      </w:r>
    </w:p>
    <w:p>
      <w:pPr>
        <w:pStyle w:val="ListParagraph"/>
        <w:numPr>
          <w:ilvl w:val="0"/>
          <w:numId w:val="1"/>
        </w:numPr>
        <w:spacing w:after="80"/>
      </w:pPr>
      <w:r>
        <w:rPr>
          <w:sz w:val="22"/>
          <w:szCs w:val="22"/>
        </w:rPr>
        <w:t xml:space="preserve">Providing false or fraudulent documentation</w:t>
      </w:r>
    </w:p>
    <w:p>
      <w:pPr>
        <w:pStyle w:val="ListParagraph"/>
        <w:numPr>
          <w:ilvl w:val="0"/>
          <w:numId w:val="1"/>
        </w:numPr>
        <w:spacing w:after="80"/>
      </w:pPr>
      <w:r>
        <w:rPr>
          <w:sz w:val="22"/>
          <w:szCs w:val="22"/>
        </w:rPr>
        <w:t xml:space="preserve">Pattern of taking leave immediately before or after public holidays without justification</w:t>
      </w:r>
    </w:p>
    <w:p>
      <w:pPr>
        <w:spacing w:after="100"/>
      </w:pPr>
      <w:r>
        <w:rPr>
          <w:sz w:val="22"/>
          <w:szCs w:val="22"/>
        </w:rPr>
        <w:t xml:space="preserve">Managers who suspect leave abuse should escalate to the business owner for investigation.</w:t>
      </w:r>
    </w:p>
    <w:p>
      <w:pPr>
        <w:pStyle w:val="Heading1"/>
        <w:pBdr>
          <w:bottom w:val="single" w:color="F59E0B" w:sz="6" w:space="4"/>
        </w:pBdr>
        <w:spacing w:after="120" w:before="320"/>
      </w:pPr>
      <w:r>
        <w:t xml:space="preserve">6. Contact</w:t>
      </w:r>
    </w:p>
    <w:p>
      <w:pPr>
        <w:spacing w:after="100"/>
      </w:pPr>
      <w:r>
        <w:rPr>
          <w:sz w:val="22"/>
          <w:szCs w:val="22"/>
        </w:rPr>
        <w:t xml:space="preserve">For questions about this policy, contact your branch manager via the Krewby platform or raise a query with your business owner.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2026-07-27T12:30:36.017Z</dcterms:created>
  <dcterms:modified xsi:type="dcterms:W3CDTF">2026-07-27T12:30:36.018Z</dcterms:modified>
</cp:coreProperties>
</file>

<file path=docProps/custom.xml><?xml version="1.0" encoding="utf-8"?>
<Properties xmlns="http://schemas.openxmlformats.org/officeDocument/2006/custom-properties" xmlns:vt="http://schemas.openxmlformats.org/officeDocument/2006/docPropsVTypes"/>
</file>