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27" w:rsidRDefault="00AF7527" w:rsidP="009F442F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0"/>
        <w:gridCol w:w="2206"/>
        <w:gridCol w:w="2417"/>
        <w:gridCol w:w="2417"/>
      </w:tblGrid>
      <w:tr w:rsidR="00E23E10" w:rsidTr="00E23E10">
        <w:tc>
          <w:tcPr>
            <w:tcW w:w="1950" w:type="dxa"/>
            <w:vAlign w:val="center"/>
          </w:tcPr>
          <w:p w:rsidR="00E23E10" w:rsidRDefault="00E23E10" w:rsidP="00E23E10">
            <w:pPr>
              <w:jc w:val="center"/>
            </w:pPr>
          </w:p>
        </w:tc>
        <w:tc>
          <w:tcPr>
            <w:tcW w:w="7040" w:type="dxa"/>
            <w:gridSpan w:val="3"/>
            <w:vAlign w:val="center"/>
          </w:tcPr>
          <w:p w:rsidR="00E23E10" w:rsidRDefault="00554ED6" w:rsidP="00E23E10">
            <w:pPr>
              <w:jc w:val="center"/>
            </w:pPr>
            <w:r>
              <w:t>Case</w:t>
            </w:r>
          </w:p>
        </w:tc>
      </w:tr>
      <w:tr w:rsidR="00E23E10" w:rsidTr="00E23E10">
        <w:tc>
          <w:tcPr>
            <w:tcW w:w="1950" w:type="dxa"/>
            <w:vMerge w:val="restart"/>
            <w:vAlign w:val="center"/>
          </w:tcPr>
          <w:p w:rsidR="00E23E10" w:rsidRDefault="00554ED6" w:rsidP="00E23E10">
            <w:pPr>
              <w:jc w:val="center"/>
            </w:pPr>
            <w:r>
              <w:t>Control</w:t>
            </w:r>
          </w:p>
        </w:tc>
        <w:tc>
          <w:tcPr>
            <w:tcW w:w="2206" w:type="dxa"/>
            <w:vAlign w:val="center"/>
          </w:tcPr>
          <w:p w:rsidR="00E23E10" w:rsidRDefault="00E23E10" w:rsidP="00E23E10">
            <w:pPr>
              <w:jc w:val="center"/>
            </w:pPr>
          </w:p>
        </w:tc>
        <w:tc>
          <w:tcPr>
            <w:tcW w:w="2417" w:type="dxa"/>
            <w:vAlign w:val="center"/>
          </w:tcPr>
          <w:p w:rsidR="00E23E10" w:rsidRDefault="00E23E10" w:rsidP="00E23E10">
            <w:pPr>
              <w:jc w:val="center"/>
            </w:pPr>
            <w:r>
              <w:t>Estrogen Use</w:t>
            </w:r>
          </w:p>
        </w:tc>
        <w:tc>
          <w:tcPr>
            <w:tcW w:w="2417" w:type="dxa"/>
            <w:vAlign w:val="center"/>
          </w:tcPr>
          <w:p w:rsidR="00E23E10" w:rsidRDefault="00E23E10" w:rsidP="00E23E10">
            <w:pPr>
              <w:jc w:val="center"/>
            </w:pPr>
            <w:r>
              <w:t>No Estrogen Use</w:t>
            </w:r>
          </w:p>
        </w:tc>
      </w:tr>
      <w:tr w:rsidR="00E23E10" w:rsidTr="00E23E10">
        <w:tc>
          <w:tcPr>
            <w:tcW w:w="1950" w:type="dxa"/>
            <w:vMerge/>
            <w:vAlign w:val="center"/>
          </w:tcPr>
          <w:p w:rsidR="00E23E10" w:rsidRDefault="00E23E10" w:rsidP="00E23E10">
            <w:pPr>
              <w:jc w:val="center"/>
            </w:pPr>
          </w:p>
        </w:tc>
        <w:tc>
          <w:tcPr>
            <w:tcW w:w="2206" w:type="dxa"/>
            <w:vAlign w:val="center"/>
          </w:tcPr>
          <w:p w:rsidR="00E23E10" w:rsidRDefault="00E23E10" w:rsidP="00E23E10">
            <w:pPr>
              <w:jc w:val="center"/>
            </w:pPr>
            <w:r>
              <w:t>Estrogen Use</w:t>
            </w:r>
          </w:p>
        </w:tc>
        <w:tc>
          <w:tcPr>
            <w:tcW w:w="2417" w:type="dxa"/>
            <w:vAlign w:val="center"/>
          </w:tcPr>
          <w:p w:rsidR="00E23E10" w:rsidRDefault="00E23E10" w:rsidP="00E23E10">
            <w:pPr>
              <w:jc w:val="center"/>
            </w:pPr>
            <w:r>
              <w:t>27</w:t>
            </w:r>
          </w:p>
        </w:tc>
        <w:tc>
          <w:tcPr>
            <w:tcW w:w="2417" w:type="dxa"/>
            <w:vAlign w:val="center"/>
          </w:tcPr>
          <w:p w:rsidR="00E23E10" w:rsidRDefault="00554ED6" w:rsidP="00E23E10">
            <w:pPr>
              <w:jc w:val="center"/>
            </w:pPr>
            <w:r>
              <w:t>2</w:t>
            </w:r>
          </w:p>
        </w:tc>
      </w:tr>
      <w:tr w:rsidR="00E23E10" w:rsidTr="00E23E10">
        <w:tc>
          <w:tcPr>
            <w:tcW w:w="1950" w:type="dxa"/>
            <w:vMerge/>
            <w:vAlign w:val="center"/>
          </w:tcPr>
          <w:p w:rsidR="00E23E10" w:rsidRDefault="00E23E10" w:rsidP="00E23E10">
            <w:pPr>
              <w:jc w:val="center"/>
            </w:pPr>
          </w:p>
        </w:tc>
        <w:tc>
          <w:tcPr>
            <w:tcW w:w="2206" w:type="dxa"/>
            <w:vAlign w:val="center"/>
          </w:tcPr>
          <w:p w:rsidR="00E23E10" w:rsidRDefault="00E23E10" w:rsidP="00E23E10">
            <w:pPr>
              <w:jc w:val="center"/>
            </w:pPr>
            <w:r>
              <w:t>No Estrogen Use</w:t>
            </w:r>
          </w:p>
        </w:tc>
        <w:tc>
          <w:tcPr>
            <w:tcW w:w="2417" w:type="dxa"/>
            <w:vAlign w:val="center"/>
          </w:tcPr>
          <w:p w:rsidR="00E23E10" w:rsidRDefault="00554ED6" w:rsidP="00E23E10">
            <w:pPr>
              <w:jc w:val="center"/>
            </w:pPr>
            <w:r>
              <w:t>29</w:t>
            </w:r>
          </w:p>
        </w:tc>
        <w:tc>
          <w:tcPr>
            <w:tcW w:w="2417" w:type="dxa"/>
            <w:vAlign w:val="center"/>
          </w:tcPr>
          <w:p w:rsidR="00E23E10" w:rsidRDefault="00E23E10" w:rsidP="00E23E10">
            <w:pPr>
              <w:jc w:val="center"/>
            </w:pPr>
            <w:r>
              <w:t>5</w:t>
            </w:r>
          </w:p>
        </w:tc>
      </w:tr>
    </w:tbl>
    <w:p w:rsidR="009F442F" w:rsidRDefault="009F442F" w:rsidP="009F442F">
      <w:pPr>
        <w:ind w:left="360"/>
      </w:pPr>
    </w:p>
    <w:p w:rsidR="00F25D5C" w:rsidRPr="002A4CD6" w:rsidRDefault="002A4CD6" w:rsidP="00F25D5C">
      <w:pPr>
        <w:pStyle w:val="ListParagraph"/>
        <w:numPr>
          <w:ilvl w:val="1"/>
          <w:numId w:val="2"/>
        </w:numPr>
      </w:pPr>
      <w:r>
        <w:t xml:space="preserve">OR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n10</m:t>
            </m:r>
          </m:num>
          <m:den>
            <m:r>
              <w:rPr>
                <w:rFonts w:ascii="Cambria Math" w:hAnsi="Cambria Math"/>
              </w:rPr>
              <m:t>n01</m:t>
            </m:r>
          </m:den>
        </m:f>
      </m:oMath>
      <w:r w:rsidR="00554ED6">
        <w:rPr>
          <w:rFonts w:eastAsiaTheme="minorEastAsia"/>
        </w:rPr>
        <w:t xml:space="preserve"> = 29/2 = </w:t>
      </w:r>
      <w:r w:rsidR="00554ED6" w:rsidRPr="00554ED6">
        <w:rPr>
          <w:rFonts w:eastAsiaTheme="minorEastAsia"/>
          <w:b/>
        </w:rPr>
        <w:t>14.5</w:t>
      </w:r>
    </w:p>
    <w:p w:rsidR="002A4CD6" w:rsidRDefault="002A4CD6" w:rsidP="002A4CD6">
      <w:pPr>
        <w:pStyle w:val="ListParagraph"/>
        <w:ind w:left="1440"/>
      </w:pPr>
    </w:p>
    <w:p w:rsidR="002A4CD6" w:rsidRDefault="002A4CD6" w:rsidP="002A4CD6">
      <w:pPr>
        <w:pStyle w:val="ListParagraph"/>
        <w:ind w:left="1440"/>
      </w:pPr>
      <w:r>
        <w:t xml:space="preserve">Controlling for age, marital status, and community, there is a </w:t>
      </w:r>
      <w:r w:rsidR="00554ED6">
        <w:t>1350</w:t>
      </w:r>
      <w:r>
        <w:t>% increase in odds of endometrial cancer for women who use estrogen compared t</w:t>
      </w:r>
      <w:r w:rsidR="00554ED6">
        <w:t>o women who do not use estrogen.</w:t>
      </w:r>
    </w:p>
    <w:p w:rsidR="00FD7C8C" w:rsidRDefault="00FD7C8C" w:rsidP="002A4CD6">
      <w:pPr>
        <w:pStyle w:val="ListParagraph"/>
        <w:ind w:left="1440"/>
      </w:pPr>
    </w:p>
    <w:p w:rsidR="00FD7C8C" w:rsidRPr="00FD7C8C" w:rsidRDefault="00FD7C8C" w:rsidP="00FD7C8C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Log OR = log(</w:t>
      </w:r>
      <w:r w:rsidR="00554ED6">
        <w:rPr>
          <w:rFonts w:eastAsiaTheme="minorEastAsia"/>
        </w:rPr>
        <w:t>14.5</w:t>
      </w:r>
      <w:r>
        <w:rPr>
          <w:rFonts w:eastAsiaTheme="minorEastAsia"/>
        </w:rPr>
        <w:t xml:space="preserve">) = </w:t>
      </w:r>
      <w:r w:rsidR="00554ED6">
        <w:rPr>
          <w:rFonts w:eastAsiaTheme="minorEastAsia"/>
        </w:rPr>
        <w:t>2.674</w:t>
      </w:r>
      <w:r>
        <w:rPr>
          <w:rFonts w:eastAsiaTheme="minorEastAsia"/>
        </w:rPr>
        <w:t xml:space="preserve"> </w:t>
      </w:r>
    </w:p>
    <w:p w:rsidR="009F442F" w:rsidRDefault="00554ED6" w:rsidP="00FD7C8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SE(Log(OR)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n10+n01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n10xn01</m:t>
                </m:r>
              </m:den>
            </m:f>
          </m:e>
        </m:rad>
      </m:oMath>
      <w:r w:rsidR="009F442F" w:rsidRPr="00FD7C8C">
        <w:rPr>
          <w:rFonts w:eastAsiaTheme="minorEastAsia"/>
        </w:rPr>
        <w:t xml:space="preserve"> </w:t>
      </w:r>
      <w:r w:rsidR="00FD7C8C" w:rsidRPr="00FD7C8C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29+2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29*2</m:t>
                </m:r>
              </m:den>
            </m:f>
          </m:e>
        </m:rad>
      </m:oMath>
      <w:r>
        <w:rPr>
          <w:rFonts w:eastAsiaTheme="minorEastAsia"/>
        </w:rPr>
        <w:t xml:space="preserve"> = 0.731</w:t>
      </w:r>
    </w:p>
    <w:p w:rsidR="00FD7C8C" w:rsidRPr="009F442F" w:rsidRDefault="00FD7C8C" w:rsidP="00FD7C8C">
      <w:pPr>
        <w:pStyle w:val="ListParagraph"/>
        <w:ind w:left="1440"/>
      </w:pPr>
      <w:r>
        <w:rPr>
          <w:rFonts w:eastAsiaTheme="minorEastAsia"/>
        </w:rPr>
        <w:t>CI = exp(</w:t>
      </w:r>
      <w:r w:rsidR="00554ED6">
        <w:rPr>
          <w:rFonts w:eastAsiaTheme="minorEastAsia"/>
        </w:rPr>
        <w:t>2.674</w:t>
      </w:r>
      <w:r>
        <w:rPr>
          <w:rFonts w:eastAsiaTheme="minorEastAsia"/>
        </w:rPr>
        <w:t>±1.96*</w:t>
      </w:r>
      <w:r w:rsidR="00554ED6">
        <w:rPr>
          <w:rFonts w:eastAsiaTheme="minorEastAsia"/>
        </w:rPr>
        <w:t>0.731</w:t>
      </w:r>
      <w:r>
        <w:rPr>
          <w:rFonts w:eastAsiaTheme="minorEastAsia"/>
        </w:rPr>
        <w:t xml:space="preserve">) = </w:t>
      </w:r>
      <w:r w:rsidRPr="00FD7C8C">
        <w:rPr>
          <w:rFonts w:eastAsiaTheme="minorEastAsia"/>
          <w:b/>
        </w:rPr>
        <w:t>(</w:t>
      </w:r>
      <w:r w:rsidR="00554ED6">
        <w:rPr>
          <w:rFonts w:eastAsiaTheme="minorEastAsia"/>
          <w:b/>
        </w:rPr>
        <w:t>3.460</w:t>
      </w:r>
      <w:r w:rsidRPr="00FD7C8C">
        <w:rPr>
          <w:rFonts w:eastAsiaTheme="minorEastAsia"/>
          <w:b/>
        </w:rPr>
        <w:t>,</w:t>
      </w:r>
      <w:r w:rsidR="00554ED6">
        <w:rPr>
          <w:rFonts w:eastAsiaTheme="minorEastAsia"/>
          <w:b/>
        </w:rPr>
        <w:t>60.750</w:t>
      </w:r>
      <w:r w:rsidRPr="00FD7C8C">
        <w:rPr>
          <w:rFonts w:eastAsiaTheme="minorEastAsia"/>
          <w:b/>
        </w:rPr>
        <w:t>)</w:t>
      </w:r>
    </w:p>
    <w:p w:rsidR="00554ED6" w:rsidRDefault="00554ED6" w:rsidP="009F442F">
      <w:pPr>
        <w:pStyle w:val="ListParagraph"/>
        <w:ind w:left="1440"/>
        <w:rPr>
          <w:rFonts w:eastAsiaTheme="minorEastAsia"/>
        </w:rPr>
      </w:pPr>
    </w:p>
    <w:p w:rsidR="009F442F" w:rsidRDefault="00554ED6" w:rsidP="009F442F">
      <w:pPr>
        <w:pStyle w:val="ListParagraph"/>
        <w:ind w:left="1440"/>
        <w:rPr>
          <w:rFonts w:eastAsiaTheme="minorEastAsia"/>
        </w:rPr>
      </w:pPr>
      <w:r>
        <w:t>Controlling for age, marital status, and community, w</w:t>
      </w:r>
      <w:r w:rsidR="009F442F">
        <w:rPr>
          <w:rFonts w:eastAsiaTheme="minorEastAsia"/>
        </w:rPr>
        <w:t xml:space="preserve">e are 95% confident that the odds of endometrial cancer are </w:t>
      </w:r>
      <w:r>
        <w:rPr>
          <w:rFonts w:eastAsiaTheme="minorEastAsia"/>
        </w:rPr>
        <w:t>246 to 5907</w:t>
      </w:r>
      <w:r w:rsidR="009F442F">
        <w:rPr>
          <w:rFonts w:eastAsiaTheme="minorEastAsia"/>
        </w:rPr>
        <w:t xml:space="preserve">% higher for women who use estrogen to women who do not use estrogen. </w:t>
      </w:r>
    </w:p>
    <w:p w:rsidR="009F442F" w:rsidRDefault="009F442F" w:rsidP="009F442F">
      <w:pPr>
        <w:pStyle w:val="ListParagraph"/>
        <w:ind w:left="1440"/>
      </w:pPr>
    </w:p>
    <w:p w:rsidR="00F25D5C" w:rsidRDefault="00554ED6" w:rsidP="00F25D5C">
      <w:pPr>
        <w:pStyle w:val="ListParagraph"/>
        <w:numPr>
          <w:ilvl w:val="1"/>
          <w:numId w:val="2"/>
        </w:numPr>
      </w:pPr>
      <w:r>
        <w:t>2.674</w:t>
      </w:r>
      <w:r w:rsidR="00521573">
        <w:t>/0.</w:t>
      </w:r>
      <w:r>
        <w:t>731</w:t>
      </w:r>
      <w:r w:rsidR="00E23E10">
        <w:t xml:space="preserve"> = </w:t>
      </w:r>
      <w:r w:rsidRPr="00521A71">
        <w:rPr>
          <w:b/>
        </w:rPr>
        <w:t>3.658</w:t>
      </w:r>
      <w:r w:rsidR="00E23E10">
        <w:t xml:space="preserve"> </w:t>
      </w:r>
      <w:r>
        <w:t>&gt;</w:t>
      </w:r>
      <w:r w:rsidR="00E23E10">
        <w:t xml:space="preserve"> 1.96. </w:t>
      </w:r>
      <w:r w:rsidR="00E23E10" w:rsidRPr="00521A71">
        <w:rPr>
          <w:b/>
        </w:rPr>
        <w:t>Reject H</w:t>
      </w:r>
      <w:r w:rsidR="00E23E10" w:rsidRPr="00521A71">
        <w:rPr>
          <w:b/>
          <w:vertAlign w:val="subscript"/>
        </w:rPr>
        <w:t>0</w:t>
      </w:r>
      <w:r w:rsidR="00E23E10" w:rsidRPr="00521A71">
        <w:rPr>
          <w:b/>
        </w:rPr>
        <w:t>.</w:t>
      </w:r>
    </w:p>
    <w:p w:rsidR="00E23E10" w:rsidRDefault="00E23E10" w:rsidP="00E23E10">
      <w:pPr>
        <w:pStyle w:val="ListParagraph"/>
        <w:ind w:left="1440"/>
      </w:pPr>
    </w:p>
    <w:p w:rsidR="00E23E10" w:rsidRDefault="00E23E10" w:rsidP="00E23E10">
      <w:pPr>
        <w:pStyle w:val="ListParagraph"/>
        <w:ind w:left="1440"/>
      </w:pPr>
      <w:r>
        <w:t>H</w:t>
      </w:r>
      <w:r>
        <w:rPr>
          <w:vertAlign w:val="subscript"/>
        </w:rPr>
        <w:t>0</w:t>
      </w:r>
      <w:r>
        <w:softHyphen/>
        <w:t>: The odds of endometrial cancer between women who use estrogen and women who don’t use estrogen are equal</w:t>
      </w:r>
      <w:r w:rsidR="003905FE">
        <w:t>, controlling for age, marital status, and community</w:t>
      </w:r>
      <w:r>
        <w:t xml:space="preserve">. </w:t>
      </w:r>
    </w:p>
    <w:p w:rsidR="00E23E10" w:rsidRPr="00E23E10" w:rsidRDefault="00E23E10" w:rsidP="00E23E10">
      <w:pPr>
        <w:pStyle w:val="ListParagraph"/>
        <w:ind w:left="1440"/>
      </w:pPr>
      <w:r>
        <w:t>H</w:t>
      </w:r>
      <w:r>
        <w:rPr>
          <w:vertAlign w:val="subscript"/>
        </w:rPr>
        <w:t>a</w:t>
      </w:r>
      <w:r>
        <w:t>: The odds of endometrial cancer between women who use estrogen and women who don’t use estrogen are not equal</w:t>
      </w:r>
      <w:r w:rsidR="003905FE">
        <w:t>, controlling for age, marital status, and community</w:t>
      </w:r>
      <w:r>
        <w:t>.</w:t>
      </w:r>
    </w:p>
    <w:p w:rsidR="00E23E10" w:rsidRDefault="00E23E10" w:rsidP="00E23E10">
      <w:pPr>
        <w:ind w:left="1440"/>
      </w:pPr>
      <w:r>
        <w:t>Since we reject the null hypothesis, the odds of endometrial cancer between women who use estrogen and women who do not use estrogen are</w:t>
      </w:r>
      <w:r w:rsidR="00521573">
        <w:t xml:space="preserve"> </w:t>
      </w:r>
      <w:r w:rsidR="00554ED6">
        <w:t xml:space="preserve">not </w:t>
      </w:r>
      <w:r>
        <w:t>equal</w:t>
      </w:r>
      <w:r w:rsidR="006C65FE">
        <w:t>, controlling for age, marital status, and community</w:t>
      </w:r>
      <w:r>
        <w:t xml:space="preserve">. </w:t>
      </w:r>
    </w:p>
    <w:p w:rsidR="00E23E10" w:rsidRDefault="00E23E10" w:rsidP="00523EE9">
      <w:pPr>
        <w:pStyle w:val="ListParagraph"/>
        <w:numPr>
          <w:ilvl w:val="0"/>
          <w:numId w:val="2"/>
        </w:numPr>
      </w:pPr>
    </w:p>
    <w:p w:rsidR="00523EE9" w:rsidRDefault="00DC0464" w:rsidP="00523EE9">
      <w:pPr>
        <w:pStyle w:val="ListParagraph"/>
        <w:numPr>
          <w:ilvl w:val="1"/>
          <w:numId w:val="2"/>
        </w:numPr>
      </w:pPr>
      <w:r>
        <w:t>g</w:t>
      </w:r>
      <w:r w:rsidR="00AD3B08">
        <w:t>(</w:t>
      </w:r>
      <w:r w:rsidR="00E10966">
        <w:t>BMI</w:t>
      </w:r>
      <w:r w:rsidR="00AD3B08">
        <w:t>) =</w:t>
      </w:r>
      <w:r w:rsidR="00E10966">
        <w:t xml:space="preserve"> log-odds of </w:t>
      </w:r>
      <w:r w:rsidR="00AD3B08">
        <w:t xml:space="preserve"> </w:t>
      </w:r>
      <w:r w:rsidR="00E10966">
        <w:t>endometrial cancer within pair given BMI.</w:t>
      </w:r>
    </w:p>
    <w:p w:rsidR="00E10966" w:rsidRDefault="00E10966" w:rsidP="00E10966">
      <w:pPr>
        <w:pStyle w:val="ListParagraph"/>
        <w:ind w:left="2160"/>
      </w:pPr>
      <w:r>
        <w:t>= α</w:t>
      </w:r>
      <w:r>
        <w:rPr>
          <w:vertAlign w:val="subscript"/>
        </w:rPr>
        <w:t>i</w:t>
      </w:r>
      <w:r>
        <w:t xml:space="preserve"> + β</w:t>
      </w:r>
      <w:r>
        <w:rPr>
          <w:vertAlign w:val="subscript"/>
        </w:rPr>
        <w:t>1</w:t>
      </w:r>
      <w:r>
        <w:t xml:space="preserve">BMI </w:t>
      </w:r>
    </w:p>
    <w:p w:rsidR="00E10966" w:rsidRPr="00E10966" w:rsidRDefault="00E10966" w:rsidP="00E10966">
      <w:pPr>
        <w:pStyle w:val="ListParagraph"/>
        <w:ind w:left="2160"/>
      </w:pPr>
      <w:r>
        <w:t>Where α</w:t>
      </w:r>
      <w:r>
        <w:rPr>
          <w:vertAlign w:val="subscript"/>
        </w:rPr>
        <w:t xml:space="preserve">i </w:t>
      </w:r>
      <w:r>
        <w:t xml:space="preserve">is the intercept for pair </w:t>
      </w:r>
      <w:r>
        <w:rPr>
          <w:i/>
        </w:rPr>
        <w:t>i</w:t>
      </w:r>
      <w:r>
        <w:t xml:space="preserve">, BMI is continuous </w:t>
      </w:r>
    </w:p>
    <w:p w:rsidR="00523EE9" w:rsidRDefault="00E10966" w:rsidP="00523EE9">
      <w:pPr>
        <w:pStyle w:val="ListParagraph"/>
        <w:numPr>
          <w:ilvl w:val="1"/>
          <w:numId w:val="2"/>
        </w:numPr>
      </w:pPr>
      <w:r>
        <w:t xml:space="preserve">G = 2 x (-16.0353) – 2 x (63) x log(0.5) = -32.0706 - </w:t>
      </w:r>
      <w:r w:rsidR="000F7A72">
        <w:t>-87.3365 = 55.2659 &gt; 3.84; Reject H</w:t>
      </w:r>
      <w:r w:rsidR="000F7A72">
        <w:rPr>
          <w:vertAlign w:val="subscript"/>
        </w:rPr>
        <w:t>0</w:t>
      </w:r>
    </w:p>
    <w:p w:rsidR="000F7A72" w:rsidRDefault="000F7A72" w:rsidP="000F7A72">
      <w:pPr>
        <w:pStyle w:val="ListParagraph"/>
        <w:ind w:left="1440"/>
      </w:pPr>
      <w:r>
        <w:t>H</w:t>
      </w:r>
      <w:r>
        <w:rPr>
          <w:vertAlign w:val="subscript"/>
        </w:rPr>
        <w:t>0</w:t>
      </w:r>
      <w:r>
        <w:t xml:space="preserve">: BMI is not related to endometrial cancer, controlling for age, marital status, and community. </w:t>
      </w:r>
    </w:p>
    <w:p w:rsidR="000F7A72" w:rsidRDefault="000F7A72" w:rsidP="000F7A72">
      <w:pPr>
        <w:pStyle w:val="ListParagraph"/>
        <w:ind w:left="1440"/>
      </w:pPr>
      <w:r>
        <w:t>H</w:t>
      </w:r>
      <w:r>
        <w:rPr>
          <w:vertAlign w:val="subscript"/>
        </w:rPr>
        <w:t>a</w:t>
      </w:r>
      <w:r>
        <w:t>: BMI is related to endometrial cancer, controlling for age, marital status, and community.</w:t>
      </w:r>
    </w:p>
    <w:p w:rsidR="000F7A72" w:rsidRDefault="000F7A72" w:rsidP="000F7A72">
      <w:pPr>
        <w:pStyle w:val="ListParagraph"/>
        <w:ind w:left="1440"/>
      </w:pPr>
    </w:p>
    <w:p w:rsidR="000F7A72" w:rsidRPr="000F7A72" w:rsidRDefault="000F7A72" w:rsidP="000F7A72">
      <w:pPr>
        <w:pStyle w:val="ListParagraph"/>
        <w:ind w:left="1440"/>
      </w:pPr>
      <w:r>
        <w:t xml:space="preserve">We have sufficient evidence to suggest that BMI is related to endometrial cancer, controlling for age, marital status, and community. </w:t>
      </w:r>
    </w:p>
    <w:p w:rsidR="00523EE9" w:rsidRDefault="00523EE9" w:rsidP="00523EE9">
      <w:pPr>
        <w:pStyle w:val="ListParagraph"/>
        <w:numPr>
          <w:ilvl w:val="1"/>
          <w:numId w:val="2"/>
        </w:numPr>
      </w:pPr>
    </w:p>
    <w:p w:rsidR="00472F36" w:rsidRDefault="00472F36" w:rsidP="00472F36">
      <w:pPr>
        <w:pStyle w:val="ListParagraph"/>
        <w:ind w:left="1440"/>
      </w:pPr>
      <w:r w:rsidRPr="00472F36">
        <w:rPr>
          <w:noProof/>
        </w:rPr>
        <w:drawing>
          <wp:inline distT="0" distB="0" distL="0" distR="0">
            <wp:extent cx="5352781" cy="3161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154" cy="31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E9" w:rsidRDefault="00472F36" w:rsidP="00CB3964">
      <w:pPr>
        <w:pStyle w:val="ListParagraph"/>
        <w:ind w:left="1440"/>
      </w:pPr>
      <w:r>
        <w:t xml:space="preserve">OR = </w:t>
      </w:r>
      <w:r w:rsidR="00CB3964">
        <w:t>e</w:t>
      </w:r>
      <w:r w:rsidR="00CB3964">
        <w:rPr>
          <w:vertAlign w:val="superscript"/>
        </w:rPr>
        <w:t>0.2337539</w:t>
      </w:r>
      <w:r w:rsidR="00CB3964">
        <w:t xml:space="preserve"> = 1.263.  There is a 26% increase in odds for endometrial cancer per 1 kg/m</w:t>
      </w:r>
      <w:r w:rsidR="00CB3964">
        <w:rPr>
          <w:vertAlign w:val="superscript"/>
        </w:rPr>
        <w:t>2</w:t>
      </w:r>
      <w:r w:rsidR="00CB3964">
        <w:t xml:space="preserve"> increase in BMI, controlling for age, marital status, and community. </w:t>
      </w:r>
    </w:p>
    <w:p w:rsidR="00CB3964" w:rsidRDefault="00CB3964" w:rsidP="00CB3964">
      <w:pPr>
        <w:pStyle w:val="ListParagraph"/>
        <w:numPr>
          <w:ilvl w:val="1"/>
          <w:numId w:val="2"/>
        </w:numPr>
      </w:pPr>
    </w:p>
    <w:p w:rsidR="00CB3964" w:rsidRDefault="00CB3964" w:rsidP="00CB3964">
      <w:pPr>
        <w:pStyle w:val="ListParagraph"/>
        <w:numPr>
          <w:ilvl w:val="2"/>
          <w:numId w:val="2"/>
        </w:numPr>
      </w:pPr>
      <w:r>
        <w:t xml:space="preserve">Probability cannot be calculated. Do not have an observed exposure level for case and controls. </w:t>
      </w:r>
      <w:r w:rsidR="00E26753">
        <w:t>Also, there is nothing concerning pairs in the question.</w:t>
      </w:r>
    </w:p>
    <w:p w:rsidR="00CB3964" w:rsidRDefault="00294EAC" w:rsidP="00CB3964">
      <w:pPr>
        <w:pStyle w:val="ListParagraph"/>
        <w:numPr>
          <w:ilvl w:val="2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(β1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)</m:t>
            </m:r>
          </m:den>
        </m:f>
      </m:oMath>
      <w:r w:rsidR="00CB396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(0.2337539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20-30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1829B5">
        <w:rPr>
          <w:rFonts w:eastAsiaTheme="minorEastAsia"/>
        </w:rPr>
        <w:t xml:space="preserve"> = 0.9119</w:t>
      </w:r>
    </w:p>
    <w:p w:rsidR="00523EE9" w:rsidRDefault="00523EE9" w:rsidP="00523EE9">
      <w:pPr>
        <w:pStyle w:val="ListParagraph"/>
        <w:numPr>
          <w:ilvl w:val="0"/>
          <w:numId w:val="2"/>
        </w:numPr>
      </w:pPr>
    </w:p>
    <w:p w:rsidR="00523EE9" w:rsidRDefault="00350625" w:rsidP="00523EE9">
      <w:pPr>
        <w:pStyle w:val="ListParagraph"/>
        <w:numPr>
          <w:ilvl w:val="1"/>
          <w:numId w:val="2"/>
        </w:numPr>
      </w:pPr>
      <w:r>
        <w:t>g(</w:t>
      </w:r>
      <w:r w:rsidR="00C01D47">
        <w:t>x) = α</w:t>
      </w:r>
      <w:r w:rsidR="00C01D47">
        <w:rPr>
          <w:vertAlign w:val="subscript"/>
        </w:rPr>
        <w:t>i</w:t>
      </w:r>
      <w:r w:rsidR="00C01D47">
        <w:t xml:space="preserve"> + β</w:t>
      </w:r>
      <w:r w:rsidR="00C01D47">
        <w:rPr>
          <w:vertAlign w:val="subscript"/>
        </w:rPr>
        <w:t>1</w:t>
      </w:r>
      <w:r w:rsidR="00C01D47">
        <w:t>est + β</w:t>
      </w:r>
      <w:r w:rsidR="00C01D47">
        <w:rPr>
          <w:vertAlign w:val="subscript"/>
        </w:rPr>
        <w:t>2</w:t>
      </w:r>
      <w:r w:rsidR="00C01D47">
        <w:t>age_est</w:t>
      </w:r>
    </w:p>
    <w:p w:rsidR="00C01D47" w:rsidRPr="00C01D47" w:rsidRDefault="00C01D47" w:rsidP="00C01D47">
      <w:pPr>
        <w:pStyle w:val="ListParagraph"/>
        <w:ind w:left="2160"/>
      </w:pPr>
      <w:r>
        <w:t>α</w:t>
      </w:r>
      <w:r>
        <w:rPr>
          <w:vertAlign w:val="subscript"/>
        </w:rPr>
        <w:t>i</w:t>
      </w:r>
      <w:r>
        <w:rPr>
          <w:vertAlign w:val="subscript"/>
        </w:rPr>
        <w:softHyphen/>
        <w:t xml:space="preserve"> </w:t>
      </w:r>
      <w:r>
        <w:t>is the intercept for the pair. Est is estrogen use, age_est is the interaction variable. Age is not coded since it is part of the pairing process.</w:t>
      </w:r>
    </w:p>
    <w:p w:rsidR="00B46ABA" w:rsidRPr="00B46ABA" w:rsidRDefault="00B46ABA" w:rsidP="00B46ABA">
      <w:pPr>
        <w:pStyle w:val="ListParagraph"/>
        <w:numPr>
          <w:ilvl w:val="1"/>
          <w:numId w:val="2"/>
        </w:numPr>
      </w:pPr>
    </w:p>
    <w:p w:rsidR="00521A71" w:rsidRDefault="00C01D47" w:rsidP="00B46ABA">
      <w:pPr>
        <w:pStyle w:val="ListParagraph"/>
        <w:numPr>
          <w:ilvl w:val="0"/>
          <w:numId w:val="3"/>
        </w:numPr>
      </w:pPr>
      <w:r w:rsidRPr="00C01D4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78725" cy="26384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6ABA">
        <w:br w:type="textWrapping" w:clear="all"/>
        <w:t>i. OR = e</w:t>
      </w:r>
      <w:r w:rsidR="00B46ABA">
        <w:rPr>
          <w:vertAlign w:val="superscript"/>
        </w:rPr>
        <w:t>(</w:t>
      </w:r>
      <w:r w:rsidR="00A11D22">
        <w:rPr>
          <w:vertAlign w:val="superscript"/>
        </w:rPr>
        <w:t>4.086618-.0196291(65))</w:t>
      </w:r>
      <w:r w:rsidR="00A11D22">
        <w:t xml:space="preserve"> = 16.62</w:t>
      </w:r>
      <w:r w:rsidR="00521A71">
        <w:tab/>
      </w:r>
      <w:r w:rsidR="00521A71">
        <w:tab/>
      </w:r>
    </w:p>
    <w:p w:rsidR="00521A71" w:rsidRDefault="00521A71" w:rsidP="00521A71">
      <w:pPr>
        <w:pStyle w:val="ListParagraph"/>
        <w:ind w:left="1440"/>
      </w:pPr>
    </w:p>
    <w:p w:rsidR="00C01D47" w:rsidRDefault="00521A71" w:rsidP="00521A71">
      <w:pPr>
        <w:pStyle w:val="ListParagraph"/>
        <w:ind w:left="1440"/>
      </w:pPr>
      <w:r>
        <w:t>65 year olds who use estrogen have a 1562% increase in odds of endometrial cancer when compared to 65 year olds who do not use estrogen, controlling for marital status and community.</w:t>
      </w:r>
    </w:p>
    <w:p w:rsidR="00521A71" w:rsidRDefault="00521A71" w:rsidP="00521A71">
      <w:pPr>
        <w:pStyle w:val="ListParagraph"/>
        <w:ind w:left="1440"/>
      </w:pPr>
    </w:p>
    <w:p w:rsidR="00A11D22" w:rsidRDefault="00A11D22" w:rsidP="00A11D22">
      <w:pPr>
        <w:pStyle w:val="ListParagraph"/>
        <w:ind w:left="1440"/>
      </w:pPr>
      <w:r>
        <w:t>ii. OR = e</w:t>
      </w:r>
      <w:r>
        <w:rPr>
          <w:vertAlign w:val="superscript"/>
        </w:rPr>
        <w:t>(4.086618-.0196291(80))</w:t>
      </w:r>
      <w:r>
        <w:rPr>
          <w:vertAlign w:val="subscript"/>
        </w:rPr>
        <w:t xml:space="preserve"> </w:t>
      </w:r>
      <w:r>
        <w:t>= 12.38</w:t>
      </w:r>
    </w:p>
    <w:p w:rsidR="00521A71" w:rsidRDefault="00521A71" w:rsidP="00A11D22">
      <w:pPr>
        <w:pStyle w:val="ListParagraph"/>
        <w:ind w:left="1440"/>
      </w:pPr>
    </w:p>
    <w:p w:rsidR="00521A71" w:rsidRDefault="00521A71" w:rsidP="00521A71">
      <w:pPr>
        <w:pStyle w:val="ListParagraph"/>
        <w:ind w:left="1440"/>
      </w:pPr>
      <w:r>
        <w:t>80</w:t>
      </w:r>
      <w:r>
        <w:t xml:space="preserve"> year olds who use estrogen have a 1</w:t>
      </w:r>
      <w:r>
        <w:t>138</w:t>
      </w:r>
      <w:r>
        <w:t>% increase in odds of endome</w:t>
      </w:r>
      <w:r>
        <w:t>trial cancer when compared to 80</w:t>
      </w:r>
      <w:r>
        <w:t xml:space="preserve"> year olds who do not use estrogen, controlling for marital status and community.</w:t>
      </w:r>
    </w:p>
    <w:p w:rsidR="00521A71" w:rsidRPr="00A11D22" w:rsidRDefault="00521A71" w:rsidP="00A11D22">
      <w:pPr>
        <w:pStyle w:val="ListParagraph"/>
        <w:ind w:left="1440"/>
      </w:pPr>
    </w:p>
    <w:p w:rsidR="00523EE9" w:rsidRDefault="00CC2863" w:rsidP="00523EE9">
      <w:pPr>
        <w:pStyle w:val="ListParagraph"/>
        <w:numPr>
          <w:ilvl w:val="1"/>
          <w:numId w:val="2"/>
        </w:numPr>
      </w:pPr>
      <w:r>
        <w:t>After performing the LR test in STATA, We faile</w:t>
      </w:r>
      <w:r w:rsidR="00EA0A38">
        <w:t>d to reject the null hypothesis at the 0.05 significance level.</w:t>
      </w:r>
      <w:r>
        <w:t xml:space="preserve"> </w:t>
      </w:r>
    </w:p>
    <w:p w:rsidR="00CC2863" w:rsidRDefault="00CC2863" w:rsidP="00CC2863">
      <w:pPr>
        <w:pStyle w:val="ListParagraph"/>
        <w:ind w:left="1440"/>
      </w:pPr>
    </w:p>
    <w:p w:rsidR="00CC2863" w:rsidRDefault="00CC2863" w:rsidP="00CC2863">
      <w:pPr>
        <w:pStyle w:val="ListParagraph"/>
        <w:ind w:left="1440"/>
      </w:pPr>
      <w:r>
        <w:t>H</w:t>
      </w:r>
      <w:r>
        <w:rPr>
          <w:vertAlign w:val="subscript"/>
        </w:rPr>
        <w:t>0</w:t>
      </w:r>
      <w:r>
        <w:t xml:space="preserve">: Age does not significantly modify the effect of estrogen use on the odds of endometrial cancer, controlling for marital status and community. </w:t>
      </w:r>
    </w:p>
    <w:p w:rsidR="00CC2863" w:rsidRDefault="00CC2863" w:rsidP="00CC2863">
      <w:pPr>
        <w:pStyle w:val="ListParagraph"/>
        <w:ind w:left="1440"/>
      </w:pPr>
      <w:r>
        <w:t>H</w:t>
      </w:r>
      <w:r>
        <w:rPr>
          <w:vertAlign w:val="subscript"/>
        </w:rPr>
        <w:t>a</w:t>
      </w:r>
      <w:r w:rsidR="00294EAC">
        <w:t>: Age does</w:t>
      </w:r>
      <w:bookmarkStart w:id="0" w:name="_GoBack"/>
      <w:bookmarkEnd w:id="0"/>
      <w:r>
        <w:t xml:space="preserve"> significantly modify the effect of estrogen use on the odds of endometrial cancer, controlling for marital status and community. </w:t>
      </w:r>
    </w:p>
    <w:p w:rsidR="00CC2863" w:rsidRDefault="00CC2863" w:rsidP="00CC2863">
      <w:pPr>
        <w:pStyle w:val="ListParagraph"/>
        <w:ind w:left="1440"/>
      </w:pPr>
    </w:p>
    <w:p w:rsidR="00CC2863" w:rsidRPr="00CC2863" w:rsidRDefault="00CC2863" w:rsidP="00CC2863">
      <w:pPr>
        <w:pStyle w:val="ListParagraph"/>
        <w:ind w:left="1440"/>
      </w:pPr>
      <w:r>
        <w:t>G = 0.04 &lt; 3.84.</w:t>
      </w:r>
    </w:p>
    <w:p w:rsidR="00CC2863" w:rsidRPr="00CC2863" w:rsidRDefault="00CC2863">
      <w:pPr>
        <w:pStyle w:val="ListParagraph"/>
        <w:ind w:left="1440"/>
      </w:pPr>
    </w:p>
    <w:sectPr w:rsidR="00CC2863" w:rsidRPr="00CC28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D5C" w:rsidRDefault="00F25D5C" w:rsidP="00F25D5C">
      <w:pPr>
        <w:spacing w:after="0" w:line="240" w:lineRule="auto"/>
      </w:pPr>
      <w:r>
        <w:separator/>
      </w:r>
    </w:p>
  </w:endnote>
  <w:endnote w:type="continuationSeparator" w:id="0">
    <w:p w:rsidR="00F25D5C" w:rsidRDefault="00F25D5C" w:rsidP="00F25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D5C" w:rsidRDefault="00F25D5C" w:rsidP="00F25D5C">
      <w:pPr>
        <w:spacing w:after="0" w:line="240" w:lineRule="auto"/>
      </w:pPr>
      <w:r>
        <w:separator/>
      </w:r>
    </w:p>
  </w:footnote>
  <w:footnote w:type="continuationSeparator" w:id="0">
    <w:p w:rsidR="00F25D5C" w:rsidRDefault="00F25D5C" w:rsidP="00F25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D5C" w:rsidRDefault="00F25D5C">
    <w:pPr>
      <w:pStyle w:val="Header"/>
    </w:pPr>
    <w:r>
      <w:tab/>
    </w:r>
    <w:r>
      <w:tab/>
      <w:t>Joshua Wu(Wu.1909)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A5471"/>
    <w:multiLevelType w:val="hybridMultilevel"/>
    <w:tmpl w:val="58B0C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8C7672"/>
    <w:multiLevelType w:val="hybridMultilevel"/>
    <w:tmpl w:val="CF78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B209B"/>
    <w:multiLevelType w:val="hybridMultilevel"/>
    <w:tmpl w:val="992E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9C"/>
    <w:rsid w:val="000F7A72"/>
    <w:rsid w:val="001829B5"/>
    <w:rsid w:val="002050DA"/>
    <w:rsid w:val="00240F4F"/>
    <w:rsid w:val="00294EAC"/>
    <w:rsid w:val="002A4CD6"/>
    <w:rsid w:val="00350625"/>
    <w:rsid w:val="003905FE"/>
    <w:rsid w:val="00396415"/>
    <w:rsid w:val="00472F36"/>
    <w:rsid w:val="00521573"/>
    <w:rsid w:val="00521A71"/>
    <w:rsid w:val="00523EE9"/>
    <w:rsid w:val="00554ED6"/>
    <w:rsid w:val="006C65FE"/>
    <w:rsid w:val="00853026"/>
    <w:rsid w:val="009F442F"/>
    <w:rsid w:val="00A11D22"/>
    <w:rsid w:val="00AD3B08"/>
    <w:rsid w:val="00AF7527"/>
    <w:rsid w:val="00B46ABA"/>
    <w:rsid w:val="00C01D47"/>
    <w:rsid w:val="00CB3964"/>
    <w:rsid w:val="00CC2863"/>
    <w:rsid w:val="00DC0464"/>
    <w:rsid w:val="00E07E9C"/>
    <w:rsid w:val="00E10966"/>
    <w:rsid w:val="00E23E10"/>
    <w:rsid w:val="00E26753"/>
    <w:rsid w:val="00EA0A38"/>
    <w:rsid w:val="00F25D5C"/>
    <w:rsid w:val="00FD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CF83"/>
  <w15:chartTrackingRefBased/>
  <w15:docId w15:val="{0B9DAEE9-5496-4CBC-9424-8D1A9BE5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5C"/>
  </w:style>
  <w:style w:type="paragraph" w:styleId="Footer">
    <w:name w:val="footer"/>
    <w:basedOn w:val="Normal"/>
    <w:link w:val="FooterChar"/>
    <w:uiPriority w:val="99"/>
    <w:unhideWhenUsed/>
    <w:rsid w:val="00F2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5C"/>
  </w:style>
  <w:style w:type="character" w:styleId="PlaceholderText">
    <w:name w:val="Placeholder Text"/>
    <w:basedOn w:val="DefaultParagraphFont"/>
    <w:uiPriority w:val="99"/>
    <w:semiHidden/>
    <w:rsid w:val="009F442F"/>
    <w:rPr>
      <w:color w:val="808080"/>
    </w:rPr>
  </w:style>
  <w:style w:type="table" w:styleId="TableGrid">
    <w:name w:val="Table Grid"/>
    <w:basedOn w:val="TableNormal"/>
    <w:uiPriority w:val="39"/>
    <w:rsid w:val="00E2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0A570-3C2D-4B37-B779-A52F9B570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CPH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Joshua, Wu</dc:creator>
  <cp:keywords/>
  <dc:description/>
  <cp:lastModifiedBy>Joshua, Wu</cp:lastModifiedBy>
  <cp:revision>18</cp:revision>
  <dcterms:created xsi:type="dcterms:W3CDTF">2017-09-14T15:13:00Z</dcterms:created>
  <dcterms:modified xsi:type="dcterms:W3CDTF">2017-09-19T16:25:00Z</dcterms:modified>
</cp:coreProperties>
</file>