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DOCUMENTACION TECNICA: SINCRONIZACION DE TICKETS E INVENTARIO</w:t>
      </w:r>
    </w:p>
    <w:p>
      <w:pPr>
        <w:jc w:val="center"/>
      </w:pPr>
      <w:r>
        <w:rPr>
          <w:sz w:val="28"/>
        </w:rPr>
        <w:t>Flujo completo: Desde la creación del ticket hasta la actualización en base de datos</w:t>
        <w:br/>
        <w:t>Sistema OTD Support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>
              <w:t>June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4320"/>
          </w:tcPr>
          <w:p>
            <w:r>
              <w:t>Jefferson Stic Correa Lopez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Alcance</w:t>
            </w:r>
          </w:p>
        </w:tc>
        <w:tc>
          <w:tcPr>
            <w:tcW w:type="dxa" w:w="4320"/>
          </w:tcPr>
          <w:p>
            <w:r>
              <w:t>Sincronización Ticket → Inventario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CONTENIDO</w:t>
      </w:r>
    </w:p>
    <w:p>
      <w:pPr>
        <w:pStyle w:val="ListBullet"/>
      </w:pPr>
      <w:r>
        <w:t>1. Fase 1: Creación y Especificación del Ticket (Frontend)</w:t>
      </w:r>
    </w:p>
    <w:p>
      <w:pPr>
        <w:pStyle w:val="ListBullet"/>
      </w:pPr>
      <w:r>
        <w:t>2. Fase 2: Aprobación y Construcción del Payload</w:t>
      </w:r>
    </w:p>
    <w:p>
      <w:pPr>
        <w:pStyle w:val="ListBullet"/>
      </w:pPr>
      <w:r>
        <w:t>3. Fase 3: Comunicación vía Webhook (/api/ticket-approved)</w:t>
      </w:r>
    </w:p>
    <w:p>
      <w:pPr>
        <w:pStyle w:val="ListBullet"/>
      </w:pPr>
      <w:r>
        <w:t>4. Fase 4: Lógica de Búsqueda y Filtrado en Inventario</w:t>
      </w:r>
    </w:p>
    <w:p>
      <w:pPr>
        <w:pStyle w:val="ListBullet"/>
      </w:pPr>
      <w:r>
        <w:t>5. Fase 5: Manejo de Monitores (Left/Right) y Activos Duplicados</w:t>
      </w:r>
    </w:p>
    <w:p>
      <w:pPr>
        <w:pStyle w:val="ListBullet"/>
      </w:pPr>
      <w:r>
        <w:t>6. Fase 6: Actualización en BD y Respuesta del Sistema</w:t>
      </w:r>
    </w:p>
    <w:p>
      <w:pPr>
        <w:pStyle w:val="ListBullet"/>
      </w:pPr>
      <w:r>
        <w:t>7. Mapeo de Campos y Trazabilidad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FASE 1: CREACION Y ESPECIFICACION DEL TICKET (FRONTEND)</w:t>
      </w:r>
    </w:p>
    <w:p>
      <w:r>
        <w:t>El flujo de sincronización inicia cuando un usuario o agente de TI crea un ticket de soporte. Si la categoría seleccionada es "Hardware", el formulario despliega campos específicos para garantizar que el inventario pueda identificar el activo exacto a retornar o reemplazar.</w:t>
      </w:r>
    </w:p>
    <w:p>
      <w:pPr>
        <w:pStyle w:val="Heading2"/>
      </w:pPr>
      <w:r>
        <w:rPr>
          <w:color w:val="003366"/>
        </w:rPr>
        <w:t>Campos críticos para la sincronización: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 en Ticket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Propósito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Impacto en Inventario</w:t>
            </w:r>
          </w:p>
        </w:tc>
      </w:tr>
      <w:tr>
        <w:tc>
          <w:tcPr>
            <w:tcW w:type="dxa" w:w="2880"/>
          </w:tcPr>
          <w:p>
            <w:r>
              <w:t>hardware_component</w:t>
            </w:r>
          </w:p>
        </w:tc>
        <w:tc>
          <w:tcPr>
            <w:tcW w:type="dxa" w:w="2880"/>
          </w:tcPr>
          <w:p>
            <w:r>
              <w:t>Define el tipo de activo (ej: cable-vga, teclado, mouse)</w:t>
            </w:r>
          </w:p>
        </w:tc>
        <w:tc>
          <w:tcPr>
            <w:tcW w:type="dxa" w:w="2880"/>
          </w:tcPr>
          <w:p>
            <w:r>
              <w:t>Mapea a la columna Item mediante tabla de equivalencias</w:t>
            </w:r>
          </w:p>
        </w:tc>
      </w:tr>
      <w:tr>
        <w:tc>
          <w:tcPr>
            <w:tcW w:type="dxa" w:w="2880"/>
          </w:tcPr>
          <w:p>
            <w:r>
              <w:t>asset_status</w:t>
            </w:r>
          </w:p>
        </w:tc>
        <w:tc>
          <w:tcPr>
            <w:tcW w:type="dxa" w:w="2880"/>
          </w:tcPr>
          <w:p>
            <w:r>
              <w:t>Estado físico o razón de retorno (Damage, Missing, Return)</w:t>
            </w:r>
          </w:p>
        </w:tc>
        <w:tc>
          <w:tcPr>
            <w:tcW w:type="dxa" w:w="2880"/>
          </w:tcPr>
          <w:p>
            <w:r>
              <w:t>Define la columna Tipo_Retorno en la BD</w:t>
            </w:r>
          </w:p>
        </w:tc>
      </w:tr>
      <w:tr>
        <w:tc>
          <w:tcPr>
            <w:tcW w:type="dxa" w:w="2880"/>
          </w:tcPr>
          <w:p>
            <w:r>
              <w:t>monitor_location</w:t>
            </w:r>
          </w:p>
        </w:tc>
        <w:tc>
          <w:tcPr>
            <w:tcW w:type="dxa" w:w="2880"/>
          </w:tcPr>
          <w:p>
            <w:r>
              <w:t>Selector: Left / Right / Both / N/A</w:t>
            </w:r>
          </w:p>
        </w:tc>
        <w:tc>
          <w:tcPr>
            <w:tcW w:type="dxa" w:w="2880"/>
          </w:tcPr>
          <w:p>
            <w:r>
              <w:t>Filtra activos por columna Monitor_Location</w:t>
            </w:r>
          </w:p>
        </w:tc>
      </w:tr>
      <w:tr>
        <w:tc>
          <w:tcPr>
            <w:tcW w:type="dxa" w:w="2880"/>
          </w:tcPr>
          <w:p>
            <w:r>
              <w:t>id_station</w:t>
            </w:r>
          </w:p>
        </w:tc>
        <w:tc>
          <w:tcPr>
            <w:tcW w:type="dxa" w:w="2880"/>
          </w:tcPr>
          <w:p>
            <w:r>
              <w:t>Ubicación física del problema</w:t>
            </w:r>
          </w:p>
        </w:tc>
        <w:tc>
          <w:tcPr>
            <w:tcW w:type="dxa" w:w="2880"/>
          </w:tcPr>
          <w:p>
            <w:r>
              <w:t>Criterio principal de búsqueda: columna Destino</w:t>
            </w:r>
          </w:p>
        </w:tc>
      </w:tr>
    </w:tbl>
    <w:p>
      <w:r>
        <w:br/>
        <w:t>[ESPACIO PARA CAPTURA 1: Formulario de creación de ticket con campos de hardware y selector de monitor]</w:t>
      </w:r>
    </w:p>
    <w:p>
      <w:r>
        <w:t>Nota: El sistema valida que los campos obligatorios estén completos antes de permitir la creación o edición del ticket.</w:t>
      </w:r>
    </w:p>
    <w:p>
      <w:r>
        <w:br w:type="page"/>
      </w:r>
    </w:p>
    <w:p>
      <w:pPr>
        <w:pStyle w:val="Heading1"/>
      </w:pPr>
      <w:r>
        <w:rPr>
          <w:color w:val="003366"/>
        </w:rPr>
        <w:t>2. FASE 2: APROBACION Y CONSTRUCCION DEL PAYLOAD</w:t>
      </w:r>
    </w:p>
    <w:p>
      <w:r>
        <w:t>Una vez el ticket es revisado, un administrador con rol de autorización accede al modal de detalles. Al seleccionar "Authorize change" y confirmar la decisión (approved), el frontend construye un payload interno que traduce los datos del ticket a un formato que el módulo de inventario puede procesar.</w:t>
      </w:r>
    </w:p>
    <w:p>
      <w:pPr>
        <w:pStyle w:val="Heading2"/>
      </w:pPr>
      <w:r>
        <w:rPr>
          <w:color w:val="003366"/>
        </w:rPr>
        <w:t>Proceso de transformación:</w:t>
      </w:r>
    </w:p>
    <w:p>
      <w:r>
        <w:t>1. Se lee category_detail del ticket para extraer hardware_component y asset_status.</w:t>
      </w:r>
    </w:p>
    <w:p>
      <w:r>
        <w:t>2. Se verifica si existe monitor_location explícito. Si no existe, se infiere del título/descripción.</w:t>
      </w:r>
    </w:p>
    <w:p>
      <w:r>
        <w:t>3. Se construye el objeto JSON con las claves esperadas por el webhook.</w:t>
      </w:r>
    </w:p>
    <w:p>
      <w:r>
        <w:t>4. Se adjunta el header X-API-Token para autenticación.</w:t>
      </w:r>
    </w:p>
    <w:p>
      <w:r>
        <w:br/>
        <w:t>[ESPACIO PARA CAPTURA 2: Modal de autorización y decisión del administrador]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FASE 3: COMUNICACION VIA WEBHOOK (/api/ticket-approved)</w:t>
      </w:r>
    </w:p>
    <w:p>
      <w:r>
        <w:t>La comunicación se realiza mediante una petición HTTP POST síncrona al endpoint del módulo de inventario.</w:t>
      </w:r>
    </w:p>
    <w:p>
      <w:pPr>
        <w:pStyle w:val="Heading2"/>
      </w:pPr>
      <w:r>
        <w:rPr>
          <w:color w:val="003366"/>
        </w:rPr>
        <w:t>Estructura del Payload:</w:t>
      </w:r>
    </w:p>
    <w:p>
      <w:r>
        <w:rPr>
          <w:rFonts w:ascii="Consolas" w:hAnsi="Consolas"/>
          <w:sz w:val="18"/>
        </w:rPr>
        <w:t>{</w:t>
        <w:br/>
        <w:t xml:space="preserve">  "ticketId": "97",</w:t>
        <w:br/>
        <w:t xml:space="preserve">  "deskLocation": "COS-TMO-D-008",</w:t>
        <w:br/>
        <w:t xml:space="preserve">  "assetItem": "Cable Display Port a VGA 1,8",</w:t>
        <w:br/>
        <w:t xml:space="preserve">  "assetCondition": "Damage",</w:t>
        <w:br/>
        <w:t xml:space="preserve">  "description": "USER SPECIFICATION... DAMAGE SPECIFICATION... Component: Right Screen",</w:t>
        <w:br/>
        <w:t xml:space="preserve">  "monitorLocation": "Right"</w:t>
        <w:br/>
        <w:t>}</w:t>
      </w:r>
    </w:p>
    <w:p>
      <w:pPr>
        <w:pStyle w:val="Heading2"/>
      </w:pPr>
      <w:r>
        <w:rPr>
          <w:color w:val="003366"/>
        </w:rPr>
        <w:t>Validaciones iniciales en backend: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Validación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Regla</w:t>
            </w:r>
          </w:p>
        </w:tc>
      </w:tr>
      <w:tr>
        <w:tc>
          <w:tcPr>
            <w:tcW w:type="dxa" w:w="4320"/>
          </w:tcPr>
          <w:p>
            <w:r>
              <w:t>X-API-Token</w:t>
            </w:r>
          </w:p>
        </w:tc>
        <w:tc>
          <w:tcPr>
            <w:tcW w:type="dxa" w:w="4320"/>
          </w:tcPr>
          <w:p>
            <w:r>
              <w:t>Verifica coincidencia con variable de entorno INVENTORY_API_KEY</w:t>
            </w:r>
          </w:p>
        </w:tc>
      </w:tr>
      <w:tr>
        <w:tc>
          <w:tcPr>
            <w:tcW w:type="dxa" w:w="4320"/>
          </w:tcPr>
          <w:p>
            <w:r>
              <w:t>assetCondition</w:t>
            </w:r>
          </w:p>
        </w:tc>
        <w:tc>
          <w:tcPr>
            <w:tcW w:type="dxa" w:w="4320"/>
          </w:tcPr>
          <w:p>
            <w:r>
              <w:t>Debe ser Return, Damage o Missing</w:t>
            </w:r>
          </w:p>
        </w:tc>
      </w:tr>
      <w:tr>
        <w:tc>
          <w:tcPr>
            <w:tcW w:type="dxa" w:w="4320"/>
          </w:tcPr>
          <w:p>
            <w:r>
              <w:t>deskLocation</w:t>
            </w:r>
          </w:p>
        </w:tc>
        <w:tc>
          <w:tcPr>
            <w:tcW w:type="dxa" w:w="4320"/>
          </w:tcPr>
          <w:p>
            <w:r>
              <w:t>No puede estar vacío</w:t>
            </w:r>
          </w:p>
        </w:tc>
      </w:tr>
      <w:tr>
        <w:tc>
          <w:tcPr>
            <w:tcW w:type="dxa" w:w="4320"/>
          </w:tcPr>
          <w:p>
            <w:r>
              <w:t>assetItem</w:t>
            </w:r>
          </w:p>
        </w:tc>
        <w:tc>
          <w:tcPr>
            <w:tcW w:type="dxa" w:w="4320"/>
          </w:tcPr>
          <w:p>
            <w:r>
              <w:t>Debe coincidir con al menos un registro en la tabla almacen</w:t>
            </w:r>
          </w:p>
        </w:tc>
      </w:tr>
    </w:tbl>
    <w:p>
      <w:r>
        <w:br/>
        <w:t>[ESPACIO PARA CAPTURA 3: Logs de la petición POST saliente y encabezados HTTP]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FASE 4: LOGICA DE BUSQUEDA Y FILTRADO EN INVENTARIO</w:t>
      </w:r>
    </w:p>
    <w:p>
      <w:r>
        <w:t>El backend ejecuta una estrategia de búsqueda en cascada para localizar el activo exacto. Esto es crítico cuando hay múltiples unidades del mismo tipo en una estación.</w:t>
      </w:r>
    </w:p>
    <w:p>
      <w:pPr>
        <w:pStyle w:val="Heading2"/>
      </w:pPr>
      <w:r>
        <w:rPr>
          <w:color w:val="003366"/>
        </w:rPr>
        <w:t>Algoritmo de búsqueda:</w:t>
      </w:r>
    </w:p>
    <w:p>
      <w:pPr>
        <w:pStyle w:val="ListNumber"/>
      </w:pPr>
      <w:r>
        <w:t>Paso 1: Consulta: Item LIKE + Destino + Fecha_Salida IS NULL + Monitor_Location LIKE parcial</w:t>
      </w:r>
    </w:p>
    <w:p>
      <w:pPr>
        <w:pStyle w:val="ListNumber"/>
      </w:pPr>
      <w:r>
        <w:t>Paso 2 (Fallback): Si no hay resultado: se elimina el filtro de monitor. Se busca solo por Item + Destino + Disponible.</w:t>
      </w:r>
    </w:p>
    <w:p>
      <w:pPr>
        <w:pStyle w:val="ListNumber"/>
      </w:pPr>
      <w:r>
        <w:t>Paso 3 (Fallback): Si no hay resultado: se busca por componente base usando reverse map (ej: "cable-vga" → "Cable Display Port...").</w:t>
      </w:r>
    </w:p>
    <w:p>
      <w:pPr>
        <w:pStyle w:val="ListNumber"/>
      </w:pPr>
      <w:r>
        <w:t>Paso 4 (Último recurso): Se busca incluso si Fecha_Salida IS NOT NULL. Se retorna 404 si no hay coincidencias.</w:t>
      </w:r>
    </w:p>
    <w:p>
      <w:r>
        <w:br/>
        <w:t>[ESPACIO PARA CAPTURA 4: Consulta SQL generada o logs de filtrado en consola]</w:t>
      </w:r>
    </w:p>
    <w:p>
      <w:r>
        <w:br w:type="page"/>
      </w:r>
    </w:p>
    <w:p>
      <w:pPr>
        <w:pStyle w:val="Heading1"/>
      </w:pPr>
      <w:r>
        <w:rPr>
          <w:color w:val="003366"/>
        </w:rPr>
        <w:t>5. FASE 5: MANEJO DE MONITORES (LEFT/RIGHT) Y ACTIVOS DUPLICADOS</w:t>
      </w:r>
    </w:p>
    <w:p>
      <w:r>
        <w:t>Uno de los escenarios más frecuentes es la existencia de activos duplicados en la misma estación (ej: dos cables VGA idénticos, uno para monitor izquierdo y otro para derecho). El sistema resuelve este conflicto mediante la combinación de tres factores:</w:t>
      </w:r>
    </w:p>
    <w:p>
      <w:pPr>
        <w:pStyle w:val="Heading2"/>
      </w:pPr>
      <w:r>
        <w:rPr>
          <w:color w:val="003366"/>
        </w:rPr>
        <w:t>Factores de diferenciación: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2880"/>
          </w:tcPr>
          <w:p>
            <w:r>
              <w:t>Monitor_Location</w:t>
            </w:r>
          </w:p>
        </w:tc>
        <w:tc>
          <w:tcPr>
            <w:tcW w:type="dxa" w:w="2880"/>
          </w:tcPr>
          <w:p>
            <w:r>
              <w:t>Filtrado con LIKE parcial. "Right" coincide con "Right Mon", "Right Monitor", etc.</w:t>
            </w:r>
          </w:p>
        </w:tc>
        <w:tc>
          <w:tcPr>
            <w:tcW w:type="dxa" w:w="2880"/>
          </w:tcPr>
          <w:p>
            <w:r>
              <w:t>monitorLocation="Right" → encuentra Monitor_Location="Right Mon"</w:t>
            </w:r>
          </w:p>
        </w:tc>
      </w:tr>
      <w:tr>
        <w:tc>
          <w:tcPr>
            <w:tcW w:type="dxa" w:w="2880"/>
          </w:tcPr>
          <w:p>
            <w:r>
              <w:t>Serial Number</w:t>
            </w:r>
          </w:p>
        </w:tc>
        <w:tc>
          <w:tcPr>
            <w:tcW w:type="dxa" w:w="2880"/>
          </w:tcPr>
          <w:p>
            <w:r>
              <w:t>Clave única física. Aunque Item y Destino sean iguales, el Serial diferencia la unidad.</w:t>
            </w:r>
          </w:p>
        </w:tc>
        <w:tc>
          <w:tcPr>
            <w:tcW w:type="dxa" w:w="2880"/>
          </w:tcPr>
          <w:p>
            <w:r>
              <w:t>DPVG00029 vs DPVG00030</w:t>
            </w:r>
          </w:p>
        </w:tc>
      </w:tr>
      <w:tr>
        <w:tc>
          <w:tcPr>
            <w:tcW w:type="dxa" w:w="2880"/>
          </w:tcPr>
          <w:p>
            <w:r>
              <w:t>Orden de registro</w:t>
            </w:r>
          </w:p>
        </w:tc>
        <w:tc>
          <w:tcPr>
            <w:tcW w:type="dxa" w:w="2880"/>
          </w:tcPr>
          <w:p>
            <w:r>
              <w:t>Si hay múltiples coincidencias exactas, query.first() toma el más antiguo disponible.</w:t>
            </w:r>
          </w:p>
        </w:tc>
        <w:tc>
          <w:tcPr>
            <w:tcW w:type="dxa" w:w="2880"/>
          </w:tcPr>
          <w:p>
            <w:r>
              <w:t>Prioriza el activo ingresado primero al inventario</w:t>
            </w:r>
          </w:p>
        </w:tc>
      </w:tr>
    </w:tbl>
    <w:p>
      <w:r>
        <w:t>Trazabilidad: Al actualizar el activo, el sistema guarda en Observaciones_Retorno el ticket ID y el componente específico. Esto permite auditar qué unidad exacta fue retornada, incluso si hay duplicados visuales.</w:t>
      </w:r>
    </w:p>
    <w:p>
      <w:r>
        <w:br/>
        <w:t>[ESPACIO PARA CAPTURA 5: Vista de tabla de activos mostrando seriales únicos y columna Monitor_Location]</w:t>
      </w:r>
    </w:p>
    <w:p>
      <w:r>
        <w:br w:type="page"/>
      </w:r>
    </w:p>
    <w:p>
      <w:pPr>
        <w:pStyle w:val="Heading1"/>
      </w:pPr>
      <w:r>
        <w:rPr>
          <w:color w:val="003366"/>
        </w:rPr>
        <w:t>6. FASE 6: ACTUALIZACION EN BD Y RESPUESTA DEL SISTEMA</w:t>
      </w:r>
    </w:p>
    <w:p>
      <w:r>
        <w:t>Una vez localizado el activo, se ejecuta la transacción de actualización:</w:t>
      </w:r>
    </w:p>
    <w:p>
      <w:pPr>
        <w:pStyle w:val="Heading2"/>
      </w:pPr>
      <w:r>
        <w:rPr>
          <w:color w:val="003366"/>
        </w:rPr>
        <w:t>Cambios en la tabla almacen: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Columna BD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Nuevo 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t>Fecha_Salida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El activo regresa a inventario general</w:t>
            </w:r>
          </w:p>
        </w:tc>
      </w:tr>
      <w:tr>
        <w:tc>
          <w:tcPr>
            <w:tcW w:type="dxa" w:w="2880"/>
          </w:tcPr>
          <w:p>
            <w:r>
              <w:t>Destino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Se desvincula de la estación original</w:t>
            </w:r>
          </w:p>
        </w:tc>
      </w:tr>
      <w:tr>
        <w:tc>
          <w:tcPr>
            <w:tcW w:type="dxa" w:w="2880"/>
          </w:tcPr>
          <w:p>
            <w:r>
              <w:t>Tipo_Retorno</w:t>
            </w:r>
          </w:p>
        </w:tc>
        <w:tc>
          <w:tcPr>
            <w:tcW w:type="dxa" w:w="2880"/>
          </w:tcPr>
          <w:p>
            <w:r>
              <w:t>assetCondition (Damage/Missing/Return)</w:t>
            </w:r>
          </w:p>
        </w:tc>
        <w:tc>
          <w:tcPr>
            <w:tcW w:type="dxa" w:w="2880"/>
          </w:tcPr>
          <w:p>
            <w:r>
              <w:t>Clasifica el motivo de devolución</w:t>
            </w:r>
          </w:p>
        </w:tc>
      </w:tr>
      <w:tr>
        <w:tc>
          <w:tcPr>
            <w:tcW w:type="dxa" w:w="2880"/>
          </w:tcPr>
          <w:p>
            <w:r>
              <w:t>Observaciones_Retorno</w:t>
            </w:r>
          </w:p>
        </w:tc>
        <w:tc>
          <w:tcPr>
            <w:tcW w:type="dxa" w:w="2880"/>
          </w:tcPr>
          <w:p>
            <w:r>
              <w:t>description del ticket + Ticket #ID</w:t>
            </w:r>
          </w:p>
        </w:tc>
        <w:tc>
          <w:tcPr>
            <w:tcW w:type="dxa" w:w="2880"/>
          </w:tcPr>
          <w:p>
            <w:r>
              <w:t>Auditoría y contexto técnico</w:t>
            </w:r>
          </w:p>
        </w:tc>
      </w:tr>
      <w:tr>
        <w:tc>
          <w:tcPr>
            <w:tcW w:type="dxa" w:w="2880"/>
          </w:tcPr>
          <w:p>
            <w:r>
              <w:t>Sede_Actual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Queda disponible para reasignación</w:t>
            </w:r>
          </w:p>
        </w:tc>
      </w:tr>
    </w:tbl>
    <w:p>
      <w:pPr>
        <w:pStyle w:val="Heading2"/>
      </w:pPr>
      <w:r>
        <w:rPr>
          <w:color w:val="003366"/>
        </w:rPr>
        <w:t>Lógica de reemplazo automático:</w:t>
      </w:r>
    </w:p>
    <w:p>
      <w:r>
        <w:t>Si assetCondition es Damage o Missing, el sistema busca inmediatamente un activo de reemplazo:</w:t>
      </w:r>
    </w:p>
    <w:p>
      <w:r>
        <w:t>• Criterio: Item exacto + Destino IS NULL + Fecha_Salida IS NULL + Tipo_Retorno IS NULL</w:t>
      </w:r>
    </w:p>
    <w:p>
      <w:r>
        <w:t>• Si encuentra: Asigna el reemplazo a la estación original y actualiza su Fecha_Salida.</w:t>
      </w:r>
    </w:p>
    <w:p>
      <w:r>
        <w:t>• Si no encuentra: Retorna éxito con advertencia "No hay activo de reemplazo disponible".</w:t>
      </w:r>
    </w:p>
    <w:p>
      <w:r>
        <w:br/>
        <w:t>[ESPACIO PARA CAPTURA 6: Respuesta HTTP 200 OK y registro en change_history]</w:t>
      </w:r>
    </w:p>
    <w:p>
      <w:r>
        <w:br w:type="page"/>
      </w:r>
    </w:p>
    <w:p>
      <w:pPr>
        <w:pStyle w:val="Heading1"/>
      </w:pPr>
      <w:r>
        <w:rPr>
          <w:color w:val="003366"/>
        </w:rPr>
        <w:t>7. MAPEO DE CAMPOS Y TRAZABILIDAD</w:t>
      </w:r>
    </w:p>
    <w:p>
      <w:r>
        <w:t>Resumen de transformación de datos entre sistemas: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 en Ticket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 en Inventario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 de Mapeo</w:t>
            </w:r>
          </w:p>
        </w:tc>
      </w:tr>
      <w:tr>
        <w:tc>
          <w:tcPr>
            <w:tcW w:type="dxa" w:w="2880"/>
          </w:tcPr>
          <w:p>
            <w:r>
              <w:t>id_station</w:t>
            </w:r>
          </w:p>
        </w:tc>
        <w:tc>
          <w:tcPr>
            <w:tcW w:type="dxa" w:w="2880"/>
          </w:tcPr>
          <w:p>
            <w:r>
              <w:t>Destino</w:t>
            </w:r>
          </w:p>
        </w:tc>
        <w:tc>
          <w:tcPr>
            <w:tcW w:type="dxa" w:w="2880"/>
          </w:tcPr>
          <w:p>
            <w:r>
              <w:t>Directo (string)</w:t>
            </w:r>
          </w:p>
        </w:tc>
      </w:tr>
      <w:tr>
        <w:tc>
          <w:tcPr>
            <w:tcW w:type="dxa" w:w="2880"/>
          </w:tcPr>
          <w:p>
            <w:r>
              <w:t>hardware_component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Tabla de equivalencias (_HARDWARE_COMPONENT_MAP)</w:t>
            </w:r>
          </w:p>
        </w:tc>
      </w:tr>
      <w:tr>
        <w:tc>
          <w:tcPr>
            <w:tcW w:type="dxa" w:w="2880"/>
          </w:tcPr>
          <w:p>
            <w:r>
              <w:t>asset_status</w:t>
            </w:r>
          </w:p>
        </w:tc>
        <w:tc>
          <w:tcPr>
            <w:tcW w:type="dxa" w:w="2880"/>
          </w:tcPr>
          <w:p>
            <w:r>
              <w:t>Tipo_Retorno</w:t>
            </w:r>
          </w:p>
        </w:tc>
        <w:tc>
          <w:tcPr>
            <w:tcW w:type="dxa" w:w="2880"/>
          </w:tcPr>
          <w:p>
            <w:r>
              <w:t>Directo (capitalizado)</w:t>
            </w:r>
          </w:p>
        </w:tc>
      </w:tr>
      <w:tr>
        <w:tc>
          <w:tcPr>
            <w:tcW w:type="dxa" w:w="2880"/>
          </w:tcPr>
          <w:p>
            <w:r>
              <w:t>monitor_location</w:t>
            </w:r>
          </w:p>
        </w:tc>
        <w:tc>
          <w:tcPr>
            <w:tcW w:type="dxa" w:w="2880"/>
          </w:tcPr>
          <w:p>
            <w:r>
              <w:t>Monitor_Location</w:t>
            </w:r>
          </w:p>
        </w:tc>
        <w:tc>
          <w:tcPr>
            <w:tcW w:type="dxa" w:w="2880"/>
          </w:tcPr>
          <w:p>
            <w:r>
              <w:t>Directo (se usa LIKE parcial en búsqueda)</w:t>
            </w:r>
          </w:p>
        </w:tc>
      </w:tr>
      <w:tr>
        <w:tc>
          <w:tcPr>
            <w:tcW w:type="dxa" w:w="2880"/>
          </w:tcPr>
          <w:p>
            <w:r>
              <w:t>description + ticketId</w:t>
            </w:r>
          </w:p>
        </w:tc>
        <w:tc>
          <w:tcPr>
            <w:tcW w:type="dxa" w:w="2880"/>
          </w:tcPr>
          <w:p>
            <w:r>
              <w:t>Observaciones_Retorno</w:t>
            </w:r>
          </w:p>
        </w:tc>
        <w:tc>
          <w:tcPr>
            <w:tcW w:type="dxa" w:w="2880"/>
          </w:tcPr>
          <w:p>
            <w:r>
              <w:t>Concatenación para auditoría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Fecha_Salida</w:t>
            </w:r>
          </w:p>
        </w:tc>
        <w:tc>
          <w:tcPr>
            <w:tcW w:type="dxa" w:w="2880"/>
          </w:tcPr>
          <w:p>
            <w:r>
              <w:t>Forzado a NULL al retornar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Serial</w:t>
            </w:r>
          </w:p>
        </w:tc>
        <w:tc>
          <w:tcPr>
            <w:tcW w:type="dxa" w:w="2880"/>
          </w:tcPr>
          <w:p>
            <w:r>
              <w:t>No se modifica (identificador único físico)</w:t>
            </w:r>
          </w:p>
        </w:tc>
      </w:tr>
    </w:tbl>
    <w:p>
      <w:pPr>
        <w:pStyle w:val="Heading2"/>
      </w:pPr>
      <w:r>
        <w:rPr>
          <w:color w:val="003366"/>
        </w:rPr>
        <w:t>Consideraciones finales:</w:t>
      </w:r>
    </w:p>
    <w:p>
      <w:r>
        <w:t>• La sincronización es síncrona: el frontend espera la respuesta del webhook antes de confirmar la aprobación.</w:t>
      </w:r>
    </w:p>
    <w:p>
      <w:r>
        <w:t>• Si el webhook falla (timeout, error 500, 404), se registra el error en change_history y se notifica al admin.</w:t>
      </w:r>
    </w:p>
    <w:p>
      <w:r>
        <w:t>• Los activos duplicados no generan conflictos gracias al filtrado por Monitor_Location y Serial.</w:t>
      </w:r>
    </w:p>
    <w:p>
      <w:r>
        <w:t>• Todo el flujo queda registrado en change_history para auditoría completa.</w:t>
      </w:r>
    </w:p>
    <w:p/>
    <w:p>
      <w:pPr>
        <w:jc w:val="center"/>
      </w:pPr>
      <w:r>
        <w:rPr>
          <w:color w:val="666666"/>
          <w:sz w:val="18"/>
        </w:rPr>
        <w:br/>
        <w:t>Version: 1.0</w:t>
        <w:br/>
        <w:t>Fecha: June 2026</w:t>
        <w:br/>
        <w:t>Sistema: OTD Support - Sincronización Tickets ↔ Inventario</w:t>
        <w:br/>
        <w:t>Elaborado por: Jefferson Stic Correa Lopez - OTD TEAM DEVELOPMENT</w:t>
        <w:br/>
        <w:t>Nota: Reemplazar los marcadores [ESPACIO PARA CAPTURA X] con las imágenes correspondientes.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