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0" w:firstLine="0"/>
        <w:jc w:val="both"/>
        <w:rPr>
          <w:b w:val="1"/>
          <w:bCs w:val="1"/>
          <w:color w:val="000000"/>
        </w:rPr>
      </w:pPr>
      <w:bookmarkStart w:colFirst="0" w:colLast="0" w:name="_1xcoc1ugay4s" w:id="0"/>
      <w:bookmarkEnd w:id="0"/>
      <w:commentRangeStart w:id="0"/>
      <w:r w:rsidDel="00000000" w:rsidR="00000000" w:rsidRPr="00000000">
        <w:rPr>
          <w:b w:val="1"/>
          <w:bCs w:val="1"/>
          <w:color w:val="000000"/>
          <w:rtl w:val="0"/>
        </w:rPr>
        <w:t xml:space="preserve">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0" w:before="0" w:lineRule="auto"/>
        <w:jc w:val="both"/>
        <w:rPr/>
      </w:pPr>
      <w:r w:rsidDel="00000000" w:rsidR="00000000" w:rsidRPr="00000000">
        <w:rPr>
          <w:rtl w:val="0"/>
        </w:rPr>
      </w:r>
    </w:p>
    <w:p w:rsidR="00000000" w:rsidDel="00000000" w:rsidP="00000000" w:rsidRDefault="00000000" w:rsidRPr="00000000" w14:paraId="00000003">
      <w:pPr>
        <w:spacing w:after="0" w:before="0" w:lineRule="auto"/>
        <w:jc w:val="both"/>
        <w:rPr/>
      </w:pPr>
      <w:commentRangeStart w:id="1"/>
      <w:r w:rsidDel="00000000" w:rsidR="00000000" w:rsidRPr="00000000">
        <w:rPr>
          <w:rtl w:val="0"/>
        </w:rPr>
        <w:t xml:space="preserve">The Manha</w:t>
      </w:r>
      <w:commentRangeEnd w:id="1"/>
      <w:r w:rsidDel="00000000" w:rsidR="00000000" w:rsidRPr="00000000">
        <w:commentReference w:id="1"/>
      </w:r>
      <w:r w:rsidDel="00000000" w:rsidR="00000000" w:rsidRPr="00000000">
        <w:rPr>
          <w:rtl w:val="0"/>
        </w:rPr>
        <w:t xml:space="preserve">ttan residential real estate market is among the most closely watched housing markets in the United States, generating tens of billions of dollars in annual transaction volume and serving as a bellwether for broader urban housing conditions. </w:t>
      </w:r>
      <w:commentRangeStart w:id="2"/>
      <w:r w:rsidDel="00000000" w:rsidR="00000000" w:rsidRPr="00000000">
        <w:rPr>
          <w:rtl w:val="0"/>
        </w:rPr>
        <w:t xml:space="preserve">Its performance</w:t>
      </w:r>
      <w:commentRangeEnd w:id="2"/>
      <w:r w:rsidDel="00000000" w:rsidR="00000000" w:rsidRPr="00000000">
        <w:commentReference w:id="2"/>
      </w:r>
      <w:r w:rsidDel="00000000" w:rsidR="00000000" w:rsidRPr="00000000">
        <w:rPr>
          <w:rtl w:val="0"/>
        </w:rPr>
        <w:t xml:space="preserve"> is closely tied to the national economy: monetary policy shapes borrowing costs and credit access, while inflation and employment conditions influence household purchasing power and demand. </w:t>
      </w:r>
      <w:commentRangeStart w:id="3"/>
      <w:r w:rsidDel="00000000" w:rsidR="00000000" w:rsidRPr="00000000">
        <w:rPr>
          <w:rtl w:val="0"/>
        </w:rPr>
        <w:t xml:space="preserve">The pas</w:t>
      </w:r>
      <w:commentRangeEnd w:id="3"/>
      <w:r w:rsidDel="00000000" w:rsidR="00000000" w:rsidRPr="00000000">
        <w:commentReference w:id="3"/>
      </w:r>
      <w:r w:rsidDel="00000000" w:rsidR="00000000" w:rsidRPr="00000000">
        <w:rPr>
          <w:rtl w:val="0"/>
        </w:rPr>
        <w:t xml:space="preserve">t decade illustrates this relationship. Mortgage rates fell below three percent during the pandemic, fueling a nationwide surge in housing prices of roughly 48 percent between 2020 and 2024. When the Federal Reserve tightened in response to inflationary pressures, rates climbed above seven percent by 2023, triggering deceleration and price declines in several metropolitan markets (Fu, 2024; Dehan, 2024; FRED, 2026). </w:t>
      </w:r>
      <w:commentRangeStart w:id="4"/>
      <w:r w:rsidDel="00000000" w:rsidR="00000000" w:rsidRPr="00000000">
        <w:rPr>
          <w:rtl w:val="0"/>
        </w:rPr>
        <w:t xml:space="preserve">Each of</w:t>
      </w:r>
      <w:commentRangeEnd w:id="4"/>
      <w:r w:rsidDel="00000000" w:rsidR="00000000" w:rsidRPr="00000000">
        <w:commentReference w:id="4"/>
      </w:r>
      <w:r w:rsidDel="00000000" w:rsidR="00000000" w:rsidRPr="00000000">
        <w:rPr>
          <w:rtl w:val="0"/>
        </w:rPr>
        <w:t xml:space="preserve"> these episodes represent a distinct </w:t>
      </w:r>
      <w:r w:rsidDel="00000000" w:rsidR="00000000" w:rsidRPr="00000000">
        <w:rPr>
          <w:i w:val="1"/>
          <w:iCs w:val="1"/>
          <w:rtl w:val="0"/>
        </w:rPr>
        <w:t xml:space="preserve">economic regime</w:t>
      </w:r>
      <w:r w:rsidDel="00000000" w:rsidR="00000000" w:rsidRPr="00000000">
        <w:rPr>
          <w:rtl w:val="0"/>
        </w:rPr>
        <w:t xml:space="preserve"> –</w:t>
      </w:r>
      <w:r w:rsidDel="00000000" w:rsidR="00000000" w:rsidRPr="00000000">
        <w:rPr>
          <w:rtl w:val="0"/>
        </w:rPr>
        <w:t xml:space="preserve"> a set of prevailing conditions that define the behavior of an economy for a specific period. </w:t>
      </w:r>
      <w:commentRangeStart w:id="5"/>
      <w:r w:rsidDel="00000000" w:rsidR="00000000" w:rsidRPr="00000000">
        <w:rPr>
          <w:rtl w:val="0"/>
        </w:rPr>
        <w:t xml:space="preserve">Whether</w:t>
      </w:r>
      <w:commentRangeEnd w:id="5"/>
      <w:r w:rsidDel="00000000" w:rsidR="00000000" w:rsidRPr="00000000">
        <w:commentReference w:id="5"/>
      </w:r>
      <w:r w:rsidDel="00000000" w:rsidR="00000000" w:rsidRPr="00000000">
        <w:rPr>
          <w:rtl w:val="0"/>
        </w:rPr>
        <w:t xml:space="preserve"> Manhattan apartment prices responded uniformly across these regimes, or whether certain segments bear most of the variation, is an open empirical question with direct implications for how investors, underwriters, and policymakers assess housing risk.</w:t>
      </w:r>
    </w:p>
    <w:p w:rsidR="00000000" w:rsidDel="00000000" w:rsidP="00000000" w:rsidRDefault="00000000" w:rsidRPr="00000000" w14:paraId="00000004">
      <w:pPr>
        <w:spacing w:after="0" w:before="0" w:lineRule="auto"/>
        <w:jc w:val="both"/>
        <w:rPr/>
      </w:pPr>
      <w:r w:rsidDel="00000000" w:rsidR="00000000" w:rsidRPr="00000000">
        <w:rPr>
          <w:rtl w:val="0"/>
        </w:rPr>
      </w:r>
    </w:p>
    <w:p w:rsidR="00000000" w:rsidDel="00000000" w:rsidP="00000000" w:rsidRDefault="00000000" w:rsidRPr="00000000" w14:paraId="00000005">
      <w:pPr>
        <w:spacing w:after="0" w:before="0" w:lineRule="auto"/>
        <w:jc w:val="both"/>
        <w:rPr/>
      </w:pPr>
      <w:r w:rsidDel="00000000" w:rsidR="00000000" w:rsidRPr="00000000">
        <w:rPr>
          <w:rtl w:val="0"/>
        </w:rPr>
        <w:t xml:space="preserve">This study addresses that by constructing a monthly panel of Manhattan apartment sales from January 2016 through December 2025 and links each transaction to the prevailing macroeconomic environment. That environment is measured using two complementary sources: established Federal Reserve indicators and textual sentiment extracted from Federal Open Market Committee (FOMC) minutes and policy statements. The analysis then applies a multi-phase framework: unsupervised clustering to identify economic regimes, statistical testing to assess whether price differences vary across regimes and apartment types, and Random Forest models to compare forecasting performance across alternative feature sets. </w:t>
      </w:r>
    </w:p>
    <w:p w:rsidR="00000000" w:rsidDel="00000000" w:rsidP="00000000" w:rsidRDefault="00000000" w:rsidRPr="00000000" w14:paraId="00000006">
      <w:pPr>
        <w:spacing w:after="0" w:before="0" w:lineRule="auto"/>
        <w:jc w:val="both"/>
        <w:rPr/>
      </w:pPr>
      <w:r w:rsidDel="00000000" w:rsidR="00000000" w:rsidRPr="00000000">
        <w:rPr>
          <w:rtl w:val="0"/>
        </w:rPr>
      </w:r>
    </w:p>
    <w:p w:rsidR="00000000" w:rsidDel="00000000" w:rsidP="00000000" w:rsidRDefault="00000000" w:rsidRPr="00000000" w14:paraId="00000007">
      <w:pPr>
        <w:spacing w:after="0" w:before="0" w:lineRule="auto"/>
        <w:jc w:val="both"/>
        <w:rPr/>
      </w:pPr>
      <w:r w:rsidDel="00000000" w:rsidR="00000000" w:rsidRPr="00000000">
        <w:rPr>
          <w:rtl w:val="0"/>
        </w:rPr>
        <w:t xml:space="preserve">The analysis produces two findings. With respect to the structural question of whether prices vary across regimes, the results reveal that when all apartments are pooled, average prices show no statistically significant shift, indicating the absence of a uniform market-wide response to macroeconomic change. Yet this aggregate stability conceals substantial variation beneath the surface: the interaction between regime and bedroom count is highly significant, </w:t>
      </w:r>
      <w:commentRangeStart w:id="6"/>
      <w:r w:rsidDel="00000000" w:rsidR="00000000" w:rsidRPr="00000000">
        <w:rPr>
          <w:rtl w:val="0"/>
        </w:rPr>
        <w:t xml:space="preserve">meaning the magnitude of the regime effect depends on apartment type. </w:t>
      </w:r>
      <w:commentRangeEnd w:id="6"/>
      <w:r w:rsidDel="00000000" w:rsidR="00000000" w:rsidRPr="00000000">
        <w:commentReference w:id="6"/>
      </w:r>
      <w:r w:rsidDel="00000000" w:rsidR="00000000" w:rsidRPr="00000000">
        <w:rPr>
          <w:rtl w:val="0"/>
        </w:rPr>
        <w:t xml:space="preserve">Studios and one-bedroom units exhibit relatively stable prices across regimes, while three-bedroom and larger units absorb the majority of cross-regime price variation. </w:t>
      </w:r>
      <w:commentRangeStart w:id="7"/>
      <w:r w:rsidDel="00000000" w:rsidR="00000000" w:rsidRPr="00000000">
        <w:rPr>
          <w:rtl w:val="0"/>
        </w:rPr>
        <w:t xml:space="preserve">On the separate question of predictive accuracy, a Random Forest model that incorporates regime classification reduces next-month price prediction error by </w:t>
      </w:r>
      <w:r w:rsidDel="00000000" w:rsidR="00000000" w:rsidRPr="00000000">
        <w:rPr>
          <w:highlight w:val="yellow"/>
          <w:rtl w:val="0"/>
        </w:rPr>
        <w:t xml:space="preserve">[TK]</w:t>
      </w:r>
      <w:r w:rsidDel="00000000" w:rsidR="00000000" w:rsidRPr="00000000">
        <w:rPr>
          <w:rtl w:val="0"/>
        </w:rPr>
        <w:t xml:space="preserve"> percent relative to a specification using macroeconomic indicators alone, indicating that regime labels encode information about price dynamics that raw macroeconomic variables do not capture on their own</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08">
      <w:pPr>
        <w:spacing w:after="0" w:before="0" w:lineRule="auto"/>
        <w:jc w:val="both"/>
        <w:rPr/>
      </w:pPr>
      <w:r w:rsidDel="00000000" w:rsidR="00000000" w:rsidRPr="00000000">
        <w:rPr>
          <w:rtl w:val="0"/>
        </w:rPr>
      </w:r>
    </w:p>
    <w:p w:rsidR="00000000" w:rsidDel="00000000" w:rsidP="00000000" w:rsidRDefault="00000000" w:rsidRPr="00000000" w14:paraId="00000009">
      <w:pPr>
        <w:spacing w:after="0" w:before="0" w:lineRule="auto"/>
        <w:jc w:val="both"/>
        <w:rPr>
          <w:b w:val="1"/>
          <w:bCs w:val="1"/>
          <w:color w:val="000000"/>
        </w:rPr>
      </w:pPr>
      <w:r w:rsidDel="00000000" w:rsidR="00000000" w:rsidRPr="00000000">
        <w:rPr>
          <w:rtl w:val="0"/>
        </w:rPr>
        <w:t xml:space="preserve">Together, these findings point to changes in how Manhattan housing risk should be managed. Real estate investors should weight portfolio composition by unit size, as smaller units provide price stability through tightening cycles while larger units carry greater downside exposure during restrictive regimes. Mortgage underwriters and risk analysts should reconsider valuation models that assume uniform price behavior across apartment types, as such models will systematically underprice risk in larger units during periods of monetary tighten</w:t>
      </w:r>
      <w:r w:rsidDel="00000000" w:rsidR="00000000" w:rsidRPr="00000000">
        <w:rPr>
          <w:rtl w:val="0"/>
        </w:rPr>
        <w:t xml:space="preserve">ing.</w:t>
      </w:r>
      <w:r w:rsidDel="00000000" w:rsidR="00000000" w:rsidRPr="00000000">
        <w:rPr>
          <w:rtl w:val="0"/>
        </w:rPr>
      </w:r>
    </w:p>
    <w:p w:rsidR="00000000" w:rsidDel="00000000" w:rsidP="00000000" w:rsidRDefault="00000000" w:rsidRPr="00000000" w14:paraId="0000000A">
      <w:pPr>
        <w:pStyle w:val="Heading3"/>
        <w:spacing w:after="0" w:before="0" w:lineRule="auto"/>
        <w:jc w:val="both"/>
        <w:rPr>
          <w:b w:val="1"/>
          <w:bCs w:val="1"/>
          <w:color w:val="000000"/>
        </w:rPr>
      </w:pPr>
      <w:bookmarkStart w:colFirst="0" w:colLast="0" w:name="_4fgpfaymku4s" w:id="1"/>
      <w:bookmarkEnd w:id="1"/>
      <w:r w:rsidDel="00000000" w:rsidR="00000000" w:rsidRPr="00000000">
        <w:rPr>
          <w:rtl w:val="0"/>
        </w:rPr>
      </w:r>
    </w:p>
    <w:p w:rsidR="00000000" w:rsidDel="00000000" w:rsidP="00000000" w:rsidRDefault="00000000" w:rsidRPr="00000000" w14:paraId="0000000B">
      <w:pPr>
        <w:pStyle w:val="Heading3"/>
        <w:spacing w:after="0" w:before="0" w:lineRule="auto"/>
        <w:jc w:val="both"/>
        <w:rPr>
          <w:b w:val="1"/>
          <w:bCs w:val="1"/>
          <w:color w:val="000000"/>
        </w:rPr>
      </w:pPr>
      <w:bookmarkStart w:colFirst="0" w:colLast="0" w:name="_9queaw2g65w4" w:id="2"/>
      <w:bookmarkEnd w:id="2"/>
      <w:r w:rsidDel="00000000" w:rsidR="00000000" w:rsidRPr="00000000">
        <w:rPr>
          <w:b w:val="1"/>
          <w:bCs w:val="1"/>
          <w:color w:val="000000"/>
          <w:rtl w:val="0"/>
        </w:rPr>
        <w:t xml:space="preserve">Introduction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relationship between monetary policy and housing prices is well-established, but most empirical work treats the housing market as a single aggregate signal. National or metropolitan price indices are regressed on interest rates, inflation, and employment variables, and the estimated sensitivities are typically assumed to hold across economic conditions. This approach is useful for describing long-run trends, but it masks features central to how the housing market actually behaves.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first is segment-level heterogeneity. Price dynamics vary across property types, locations, and buyer groups. Foundational work by Case and Shiller (1989) and Glaeser et al. (2008) demonstrates that housing submarkets exhibit divergent levels of volatility, supply constraints, and sensitivity to macroeconomic shocks. Aggregate indices smooth over these differences and cannot capture how distinct segments respond to changing conditions.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second is the instability of macroeconomic relationships. Hamilton (1989) formalized the observation that economic relationships shift between discrete regimes, such as expansions, recessions, and transitional periods, and models that assume parameter stability risk missing the structural shifts that matter most for forecasting. Regime-based analysis has rarely been applied to segment-level housing data, leaving open the question of whether housing market heterogeneity and macroeconomic regime structure interact in ways that matter for prediction and policy.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 third, more recent thread is also relevant. Hansen and McMahon (2016) demonstrate that the textual content of Federal Reserve communication, beyond the realized values of policy variables, has measurable effects on financial and economic variables, with forward guidance components carrying particularly strong influence. Whether this channel extends to the housing market has received almost no attention.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spacing w:after="0" w:before="0" w:lineRule="auto"/>
        <w:ind w:left="0" w:firstLine="0"/>
        <w:jc w:val="both"/>
        <w:rPr/>
      </w:pPr>
      <w:r w:rsidDel="00000000" w:rsidR="00000000" w:rsidRPr="00000000">
        <w:rPr>
          <w:rtl w:val="0"/>
        </w:rPr>
        <w:t xml:space="preserve">This study combines all three threads within a single framework and asks whether doing so yields a sharper understanding of how Manhattan apartment prices respond to macroeconomic change. Closing this gap has material implications for decision makers. Investors hold portfolios across multiple segments, mortgage underwriters price risk across apartment types, and policymakers calibrate interventions based on market-wide trends. If different segments respond differently to the same macroeconomic conditions, each of these audiences is working with incomplete information.</w:t>
      </w:r>
    </w:p>
    <w:p w:rsidR="00000000" w:rsidDel="00000000" w:rsidP="00000000" w:rsidRDefault="00000000" w:rsidRPr="00000000" w14:paraId="00000016">
      <w:pPr>
        <w:spacing w:after="0" w:before="0" w:lineRule="auto"/>
        <w:ind w:left="0" w:firstLine="0"/>
        <w:jc w:val="both"/>
        <w:rPr/>
      </w:pPr>
      <w:r w:rsidDel="00000000" w:rsidR="00000000" w:rsidRPr="00000000">
        <w:rPr>
          <w:rtl w:val="0"/>
        </w:rPr>
      </w:r>
    </w:p>
    <w:p w:rsidR="00000000" w:rsidDel="00000000" w:rsidP="00000000" w:rsidRDefault="00000000" w:rsidRPr="00000000" w14:paraId="00000017">
      <w:pPr>
        <w:pStyle w:val="Heading3"/>
        <w:spacing w:after="0" w:before="0" w:lineRule="auto"/>
        <w:jc w:val="both"/>
        <w:rPr/>
      </w:pPr>
      <w:bookmarkStart w:colFirst="0" w:colLast="0" w:name="_f7e1zb3pbkz7" w:id="3"/>
      <w:bookmarkEnd w:id="3"/>
      <w:commentRangeStart w:id="8"/>
      <w:r w:rsidDel="00000000" w:rsidR="00000000" w:rsidRPr="00000000">
        <w:rPr>
          <w:b w:val="1"/>
          <w:bCs w:val="1"/>
          <w:color w:val="000000"/>
          <w:rtl w:val="0"/>
        </w:rPr>
        <w:t xml:space="preserve">Research Problem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study addresses three questions, each corresponding to a phase of the analysis:</w:t>
      </w:r>
    </w:p>
    <w:p w:rsidR="00000000" w:rsidDel="00000000" w:rsidP="00000000" w:rsidRDefault="00000000" w:rsidRPr="00000000" w14:paraId="00000019">
      <w:pPr>
        <w:numPr>
          <w:ilvl w:val="0"/>
          <w:numId w:val="1"/>
        </w:numPr>
        <w:spacing w:after="0" w:afterAutospacing="0" w:before="240" w:lineRule="auto"/>
        <w:ind w:left="720" w:hanging="360"/>
        <w:jc w:val="both"/>
        <w:rPr>
          <w:u w:val="none"/>
        </w:rPr>
      </w:pPr>
      <w:r w:rsidDel="00000000" w:rsidR="00000000" w:rsidRPr="00000000">
        <w:rPr>
          <w:b w:val="1"/>
          <w:bCs w:val="1"/>
          <w:rtl w:val="0"/>
        </w:rPr>
        <w:t xml:space="preserve">Identification of economic regimes.</w:t>
      </w:r>
      <w:r w:rsidDel="00000000" w:rsidR="00000000" w:rsidRPr="00000000">
        <w:rPr>
          <w:rtl w:val="0"/>
        </w:rPr>
        <w:t xml:space="preserve"> Do the Federal Funds Rate, unemployment rate, PCE inflation, and mortgage spread cluster into distinct macroeconomic regimes, and does FOMC sentiment align with the identified regime structure?</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u w:val="none"/>
        </w:rPr>
      </w:pPr>
      <w:r w:rsidDel="00000000" w:rsidR="00000000" w:rsidRPr="00000000">
        <w:rPr>
          <w:b w:val="1"/>
          <w:bCs w:val="1"/>
          <w:rtl w:val="0"/>
        </w:rPr>
        <w:t xml:space="preserve">Segment-level price response.</w:t>
      </w:r>
      <w:r w:rsidDel="00000000" w:rsidR="00000000" w:rsidRPr="00000000">
        <w:rPr>
          <w:rtl w:val="0"/>
        </w:rPr>
        <w:t xml:space="preserve"> Do Manhattan apartment prices differ across the identified regimes, and do those differences vary by apartment type and location?</w:t>
      </w:r>
    </w:p>
    <w:p w:rsidR="00000000" w:rsidDel="00000000" w:rsidP="00000000" w:rsidRDefault="00000000" w:rsidRPr="00000000" w14:paraId="0000001B">
      <w:pPr>
        <w:numPr>
          <w:ilvl w:val="0"/>
          <w:numId w:val="1"/>
        </w:numPr>
        <w:spacing w:after="240" w:before="0" w:beforeAutospacing="0" w:lineRule="auto"/>
        <w:ind w:left="720" w:hanging="360"/>
        <w:jc w:val="both"/>
        <w:rPr>
          <w:u w:val="none"/>
        </w:rPr>
      </w:pPr>
      <w:r w:rsidDel="00000000" w:rsidR="00000000" w:rsidRPr="00000000">
        <w:rPr>
          <w:b w:val="1"/>
          <w:bCs w:val="1"/>
          <w:rtl w:val="0"/>
        </w:rPr>
        <w:t xml:space="preserve">Value of regime recognition.</w:t>
      </w:r>
      <w:r w:rsidDel="00000000" w:rsidR="00000000" w:rsidRPr="00000000">
        <w:rPr>
          <w:rtl w:val="0"/>
        </w:rPr>
        <w:t xml:space="preserve"> Does incorporating regime classification and textual sentiment improve the prediction of apartment price movements over a specification using macroeconomic indicators alone?</w:t>
      </w:r>
    </w:p>
    <w:p w:rsidR="00000000" w:rsidDel="00000000" w:rsidP="00000000" w:rsidRDefault="00000000" w:rsidRPr="00000000" w14:paraId="0000001C">
      <w:pPr>
        <w:pStyle w:val="Heading3"/>
        <w:spacing w:after="0" w:before="0" w:lineRule="auto"/>
        <w:rPr>
          <w:b w:val="1"/>
          <w:bCs w:val="1"/>
          <w:color w:val="000000"/>
        </w:rPr>
      </w:pPr>
      <w:bookmarkStart w:colFirst="0" w:colLast="0" w:name="_2mtl3y13b8es" w:id="4"/>
      <w:bookmarkEnd w:id="4"/>
      <w:r w:rsidDel="00000000" w:rsidR="00000000" w:rsidRPr="00000000">
        <w:rPr>
          <w:rtl w:val="0"/>
        </w:rPr>
      </w:r>
    </w:p>
    <w:p w:rsidR="00000000" w:rsidDel="00000000" w:rsidP="00000000" w:rsidRDefault="00000000" w:rsidRPr="00000000" w14:paraId="0000001D">
      <w:pPr>
        <w:pStyle w:val="Heading3"/>
        <w:spacing w:after="0" w:before="0" w:lineRule="auto"/>
        <w:jc w:val="both"/>
        <w:rPr>
          <w:b w:val="1"/>
          <w:bCs w:val="1"/>
          <w:color w:val="000000"/>
        </w:rPr>
      </w:pPr>
      <w:bookmarkStart w:colFirst="0" w:colLast="0" w:name="_yw8gu6rw76j" w:id="5"/>
      <w:bookmarkEnd w:id="5"/>
      <w:r w:rsidDel="00000000" w:rsidR="00000000" w:rsidRPr="00000000">
        <w:rPr>
          <w:b w:val="1"/>
          <w:bCs w:val="1"/>
          <w:color w:val="000000"/>
          <w:rtl w:val="0"/>
        </w:rPr>
        <w:t xml:space="preserve">Data &amp; Preparation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spacing w:after="0" w:before="0" w:lineRule="auto"/>
        <w:jc w:val="both"/>
        <w:rPr/>
      </w:pPr>
      <w:r w:rsidDel="00000000" w:rsidR="00000000" w:rsidRPr="00000000">
        <w:rPr>
          <w:rtl w:val="0"/>
        </w:rPr>
        <w:t xml:space="preserve">This study integrates three monthly datasets covering January 2016 through December 2025: Manhattan apartment transaction records, macroeconomic indicators from the Federal Reserve Economic Data (FRED) database, and textual communications from the Federal Open Market Committee (FOMC). The ten-year window was chosen to span two full interest-rate cycles while remaining within the period in which sub-neighborhood-level transaction data is consistently available for Manhattan.</w:t>
      </w:r>
    </w:p>
    <w:p w:rsidR="00000000" w:rsidDel="00000000" w:rsidP="00000000" w:rsidRDefault="00000000" w:rsidRPr="00000000" w14:paraId="00000020">
      <w:pPr>
        <w:spacing w:after="0" w:before="0" w:lineRule="auto"/>
        <w:jc w:val="both"/>
        <w:rPr>
          <w:b w:val="1"/>
          <w:bCs w:val="1"/>
        </w:rPr>
      </w:pPr>
      <w:r w:rsidDel="00000000" w:rsidR="00000000" w:rsidRPr="00000000">
        <w:rPr>
          <w:rtl w:val="0"/>
        </w:rPr>
      </w:r>
    </w:p>
    <w:p w:rsidR="00000000" w:rsidDel="00000000" w:rsidP="00000000" w:rsidRDefault="00000000" w:rsidRPr="00000000" w14:paraId="00000021">
      <w:pPr>
        <w:spacing w:after="0" w:before="0" w:lineRule="auto"/>
        <w:jc w:val="both"/>
        <w:rPr>
          <w:b w:val="1"/>
          <w:bCs w:val="1"/>
        </w:rPr>
      </w:pPr>
      <w:r w:rsidDel="00000000" w:rsidR="00000000" w:rsidRPr="00000000">
        <w:rPr>
          <w:b w:val="1"/>
          <w:bCs w:val="1"/>
          <w:rtl w:val="0"/>
        </w:rPr>
        <w:t xml:space="preserve">Apartment transactions</w:t>
      </w:r>
    </w:p>
    <w:p w:rsidR="00000000" w:rsidDel="00000000" w:rsidP="00000000" w:rsidRDefault="00000000" w:rsidRPr="00000000" w14:paraId="00000022">
      <w:pPr>
        <w:spacing w:after="0" w:before="0" w:lineRule="auto"/>
        <w:jc w:val="both"/>
        <w:rPr/>
      </w:pPr>
      <w:r w:rsidDel="00000000" w:rsidR="00000000" w:rsidRPr="00000000">
        <w:rPr>
          <w:rtl w:val="0"/>
        </w:rPr>
      </w:r>
    </w:p>
    <w:p w:rsidR="00000000" w:rsidDel="00000000" w:rsidP="00000000" w:rsidRDefault="00000000" w:rsidRPr="00000000" w14:paraId="00000023">
      <w:pPr>
        <w:spacing w:after="0" w:before="0" w:lineRule="auto"/>
        <w:jc w:val="both"/>
        <w:rPr/>
      </w:pPr>
      <w:r w:rsidDel="00000000" w:rsidR="00000000" w:rsidRPr="00000000">
        <w:rPr>
          <w:rtl w:val="0"/>
        </w:rPr>
        <w:t xml:space="preserve">Monthly apartment transaction records were compiled from 120 standardized Excel exports containing sale price, sale date, address, bedroom count, bathroom count, and sub-neighborhood for each transaction. The raw files were concatenated and cleaned to remove embedded summary rows (averages, medians, totals) and records with missing or invalid address fields, yielding approximately 24,000 transactions after cleaning. Because ZIP codes are not consistently recorded in the raw files, each sub-neighborhood was mapped to a primary ZIP code using established Manhattan boundary conventions, producing reproducible spatial classifications without address-level geocoding. Transactions were aggregated to the Month × Sub-Neighborhood × Bedroom Count level, producing monthly segment-level series of median and mean sale prices and transaction counts. Aggregating at this level preserves the segment-level variation central to the research question and avoids the Simpson's paradox risks inherent in borough-wide averages.</w:t>
      </w:r>
    </w:p>
    <w:p w:rsidR="00000000" w:rsidDel="00000000" w:rsidP="00000000" w:rsidRDefault="00000000" w:rsidRPr="00000000" w14:paraId="00000024">
      <w:pPr>
        <w:spacing w:after="0" w:before="0" w:lineRule="auto"/>
        <w:jc w:val="both"/>
        <w:rPr>
          <w:b w:val="1"/>
          <w:bCs w:val="1"/>
        </w:rPr>
      </w:pPr>
      <w:r w:rsidDel="00000000" w:rsidR="00000000" w:rsidRPr="00000000">
        <w:rPr>
          <w:rtl w:val="0"/>
        </w:rPr>
      </w:r>
    </w:p>
    <w:p w:rsidR="00000000" w:rsidDel="00000000" w:rsidP="00000000" w:rsidRDefault="00000000" w:rsidRPr="00000000" w14:paraId="00000025">
      <w:pPr>
        <w:spacing w:after="0" w:before="0" w:lineRule="auto"/>
        <w:jc w:val="both"/>
        <w:rPr>
          <w:b w:val="1"/>
          <w:bCs w:val="1"/>
        </w:rPr>
      </w:pPr>
      <w:r w:rsidDel="00000000" w:rsidR="00000000" w:rsidRPr="00000000">
        <w:rPr>
          <w:b w:val="1"/>
          <w:bCs w:val="1"/>
          <w:rtl w:val="0"/>
        </w:rPr>
        <w:t xml:space="preserve">Macroeconomic indicators</w:t>
      </w:r>
    </w:p>
    <w:p w:rsidR="00000000" w:rsidDel="00000000" w:rsidP="00000000" w:rsidRDefault="00000000" w:rsidRPr="00000000" w14:paraId="00000026">
      <w:pPr>
        <w:spacing w:after="0" w:before="0" w:lineRule="auto"/>
        <w:jc w:val="both"/>
        <w:rPr>
          <w:b w:val="1"/>
          <w:bCs w:val="1"/>
        </w:rPr>
      </w:pPr>
      <w:r w:rsidDel="00000000" w:rsidR="00000000" w:rsidRPr="00000000">
        <w:rPr>
          <w:rtl w:val="0"/>
        </w:rPr>
      </w:r>
    </w:p>
    <w:p w:rsidR="00000000" w:rsidDel="00000000" w:rsidP="00000000" w:rsidRDefault="00000000" w:rsidRPr="00000000" w14:paraId="00000027">
      <w:pPr>
        <w:spacing w:after="0" w:before="0" w:lineRule="auto"/>
        <w:jc w:val="both"/>
        <w:rPr/>
      </w:pPr>
      <w:r w:rsidDel="00000000" w:rsidR="00000000" w:rsidRPr="00000000">
        <w:rPr>
          <w:rtl w:val="0"/>
        </w:rPr>
        <w:t xml:space="preserve">Four indicators were sourced from FRED to characterize the macroeconomic environment: the Federal Funds Rate (FEDFUNDS), the unemployment rate (UNRATE), the Personal Consumption Expenditures index (PCE), and the thirty-year fixed mortgage rate (MORTGAGE30US). FRED was selected for its institutional reliability, consistent historical coverage, and alignment with standard practice in the housing-monetary-policy literature (Del Negro &amp; Otrok, 2007; Kuttner, 2013). Two transformations were applied. MORTGAGE30US, originally weekly, was resampled to monthly frequency using within-month averages to align with the other series. PCE was transformed into year-over-year percentage growth (PCE_YOY) to address non-stationarity, verified through Augmented Dickey-Fuller tests. A derived Mortgage Spread variable was constructed as MORTGAGE30US minus FEDFUNDS to isolate the credit premium above the policy rate and reduce multicollinearity between the two rate series. The final macroeconomic panel consists of FEDFUNDS, UNRATE, PCE_YOY, and Mortgage Spread at monthly frequency.</w:t>
      </w:r>
      <w:r w:rsidDel="00000000" w:rsidR="00000000" w:rsidRPr="00000000">
        <w:rPr>
          <w:rtl w:val="0"/>
        </w:rPr>
      </w:r>
    </w:p>
    <w:p w:rsidR="00000000" w:rsidDel="00000000" w:rsidP="00000000" w:rsidRDefault="00000000" w:rsidRPr="00000000" w14:paraId="00000028">
      <w:pPr>
        <w:spacing w:after="0" w:before="0" w:lineRule="auto"/>
        <w:jc w:val="both"/>
        <w:rPr>
          <w:b w:val="1"/>
          <w:bCs w:val="1"/>
        </w:rPr>
      </w:pPr>
      <w:r w:rsidDel="00000000" w:rsidR="00000000" w:rsidRPr="00000000">
        <w:rPr>
          <w:rtl w:val="0"/>
        </w:rPr>
      </w:r>
    </w:p>
    <w:p w:rsidR="00000000" w:rsidDel="00000000" w:rsidP="00000000" w:rsidRDefault="00000000" w:rsidRPr="00000000" w14:paraId="00000029">
      <w:pPr>
        <w:spacing w:after="0" w:before="0" w:lineRule="auto"/>
        <w:jc w:val="both"/>
        <w:rPr>
          <w:b w:val="1"/>
          <w:bCs w:val="1"/>
        </w:rPr>
      </w:pPr>
      <w:r w:rsidDel="00000000" w:rsidR="00000000" w:rsidRPr="00000000">
        <w:rPr>
          <w:b w:val="1"/>
          <w:bCs w:val="1"/>
          <w:rtl w:val="0"/>
        </w:rPr>
        <w:t xml:space="preserve">FOMC textual communication</w:t>
      </w:r>
    </w:p>
    <w:p w:rsidR="00000000" w:rsidDel="00000000" w:rsidP="00000000" w:rsidRDefault="00000000" w:rsidRPr="00000000" w14:paraId="0000002A">
      <w:pPr>
        <w:spacing w:after="0" w:before="0" w:lineRule="auto"/>
        <w:jc w:val="both"/>
        <w:rPr>
          <w:b w:val="1"/>
          <w:bCs w:val="1"/>
        </w:rPr>
      </w:pPr>
      <w:r w:rsidDel="00000000" w:rsidR="00000000" w:rsidRPr="00000000">
        <w:rPr>
          <w:rtl w:val="0"/>
        </w:rPr>
      </w:r>
    </w:p>
    <w:p w:rsidR="00000000" w:rsidDel="00000000" w:rsidP="00000000" w:rsidRDefault="00000000" w:rsidRPr="00000000" w14:paraId="0000002B">
      <w:pPr>
        <w:spacing w:after="0" w:before="0" w:lineRule="auto"/>
        <w:jc w:val="both"/>
        <w:rPr/>
      </w:pPr>
      <w:r w:rsidDel="00000000" w:rsidR="00000000" w:rsidRPr="00000000">
        <w:rPr>
          <w:rtl w:val="0"/>
        </w:rPr>
        <w:t xml:space="preserve">Approximately 146 FOMC documents (72 meeting minutes and 74 policy statements) were scraped from the Federal Reserve website over the full ten-year window, capturing each document's meeting date, type, source URL, and body text. The cleaning pipeline removes navigation elements, URLs, HTML entities, short-line fragments, and boilerplate language; documents falling below 100 words after cleaning are excluded. Sentiment scores are generated using the Loughran-McDonald financial dictionary, which is specifically calibrated for economic and financial text and is the standard reference for financial sentiment analysis. Four monthly sentiment indicators are produced: Positive and Negative word counts, Polarity (the net sentiment score), and Subjectivity (the share of words carrying sentiment).</w:t>
      </w:r>
    </w:p>
    <w:p w:rsidR="00000000" w:rsidDel="00000000" w:rsidP="00000000" w:rsidRDefault="00000000" w:rsidRPr="00000000" w14:paraId="0000002C">
      <w:pPr>
        <w:spacing w:after="0" w:before="0" w:lineRule="auto"/>
        <w:jc w:val="both"/>
        <w:rPr/>
      </w:pPr>
      <w:r w:rsidDel="00000000" w:rsidR="00000000" w:rsidRPr="00000000">
        <w:rPr>
          <w:rtl w:val="0"/>
        </w:rPr>
      </w:r>
    </w:p>
    <w:p w:rsidR="00000000" w:rsidDel="00000000" w:rsidP="00000000" w:rsidRDefault="00000000" w:rsidRPr="00000000" w14:paraId="0000002D">
      <w:pPr>
        <w:spacing w:after="0" w:before="0" w:lineRule="auto"/>
        <w:jc w:val="both"/>
        <w:rPr>
          <w:b w:val="1"/>
          <w:bCs w:val="1"/>
        </w:rPr>
      </w:pPr>
      <w:r w:rsidDel="00000000" w:rsidR="00000000" w:rsidRPr="00000000">
        <w:rPr>
          <w:b w:val="1"/>
          <w:bCs w:val="1"/>
          <w:rtl w:val="0"/>
        </w:rPr>
        <w:t xml:space="preserve">Integration</w:t>
      </w:r>
    </w:p>
    <w:p w:rsidR="00000000" w:rsidDel="00000000" w:rsidP="00000000" w:rsidRDefault="00000000" w:rsidRPr="00000000" w14:paraId="0000002E">
      <w:pPr>
        <w:spacing w:after="0" w:before="0" w:lineRule="auto"/>
        <w:jc w:val="both"/>
        <w:rPr/>
      </w:pPr>
      <w:r w:rsidDel="00000000" w:rsidR="00000000" w:rsidRPr="00000000">
        <w:rPr>
          <w:rtl w:val="0"/>
        </w:rPr>
      </w:r>
    </w:p>
    <w:p w:rsidR="00000000" w:rsidDel="00000000" w:rsidP="00000000" w:rsidRDefault="00000000" w:rsidRPr="00000000" w14:paraId="0000002F">
      <w:pPr>
        <w:spacing w:after="0" w:before="0" w:lineRule="auto"/>
        <w:jc w:val="both"/>
        <w:rPr/>
      </w:pPr>
      <w:r w:rsidDel="00000000" w:rsidR="00000000" w:rsidRPr="00000000">
        <w:rPr>
          <w:rtl w:val="0"/>
        </w:rPr>
        <w:t xml:space="preserve">The three datasets were merged on the monthly time index. Because FOMC meetings occur eight times per year rather than monthly, sentiment scores were forward-filled through non-meeting months, reflecting the assumption that the most recent FOMC communication remains the relevant signal until updated. The resulting integrated panel contains approximately 10,500 segment-months, each carrying a complete set of housing, macroeconomic, and sentiment features. This panel serves as the analytical base for all subsequent regime identification, heterogeneity testing, and predictive modeling.</w:t>
      </w:r>
      <w:r w:rsidDel="00000000" w:rsidR="00000000" w:rsidRPr="00000000">
        <w:rPr>
          <w:rtl w:val="0"/>
        </w:rPr>
      </w:r>
    </w:p>
    <w:p w:rsidR="00000000" w:rsidDel="00000000" w:rsidP="00000000" w:rsidRDefault="00000000" w:rsidRPr="00000000" w14:paraId="00000030">
      <w:pPr>
        <w:pStyle w:val="Heading3"/>
        <w:spacing w:after="0" w:before="0" w:lineRule="auto"/>
        <w:rPr>
          <w:b w:val="1"/>
          <w:bCs w:val="1"/>
          <w:color w:val="000000"/>
        </w:rPr>
      </w:pPr>
      <w:bookmarkStart w:colFirst="0" w:colLast="0" w:name="_ezmbdilt4pd5" w:id="6"/>
      <w:bookmarkEnd w:id="6"/>
      <w:r w:rsidDel="00000000" w:rsidR="00000000" w:rsidRPr="00000000">
        <w:rPr>
          <w:rtl w:val="0"/>
        </w:rPr>
      </w:r>
    </w:p>
    <w:p w:rsidR="00000000" w:rsidDel="00000000" w:rsidP="00000000" w:rsidRDefault="00000000" w:rsidRPr="00000000" w14:paraId="00000031">
      <w:pPr>
        <w:pStyle w:val="Heading3"/>
        <w:spacing w:after="0" w:before="0" w:lineRule="auto"/>
        <w:rPr>
          <w:b w:val="1"/>
          <w:bCs w:val="1"/>
          <w:color w:val="000000"/>
        </w:rPr>
      </w:pPr>
      <w:bookmarkStart w:colFirst="0" w:colLast="0" w:name="_kgnqcc3nr96p" w:id="7"/>
      <w:bookmarkEnd w:id="7"/>
      <w:r w:rsidDel="00000000" w:rsidR="00000000" w:rsidRPr="00000000">
        <w:rPr>
          <w:rtl w:val="0"/>
        </w:rPr>
      </w:r>
    </w:p>
    <w:p w:rsidR="00000000" w:rsidDel="00000000" w:rsidP="00000000" w:rsidRDefault="00000000" w:rsidRPr="00000000" w14:paraId="00000032">
      <w:pPr>
        <w:pStyle w:val="Heading3"/>
        <w:spacing w:after="0" w:before="0" w:lineRule="auto"/>
        <w:rPr>
          <w:b w:val="1"/>
          <w:bCs w:val="1"/>
          <w:color w:val="0000ff"/>
        </w:rPr>
      </w:pPr>
      <w:bookmarkStart w:colFirst="0" w:colLast="0" w:name="_rgnk5u1zg56s" w:id="8"/>
      <w:bookmarkEnd w:id="8"/>
      <w:r w:rsidDel="00000000" w:rsidR="00000000" w:rsidRPr="00000000">
        <w:rPr>
          <w:b w:val="1"/>
          <w:bCs w:val="1"/>
          <w:color w:val="0000ff"/>
          <w:rtl w:val="0"/>
        </w:rPr>
        <w:t xml:space="preserve">Analytical Approach</w:t>
      </w:r>
    </w:p>
    <w:p w:rsidR="00000000" w:rsidDel="00000000" w:rsidP="00000000" w:rsidRDefault="00000000" w:rsidRPr="00000000" w14:paraId="00000033">
      <w:pPr>
        <w:spacing w:after="0" w:before="0" w:lineRule="auto"/>
        <w:rPr>
          <w:color w:val="0000ff"/>
        </w:rPr>
      </w:pPr>
      <w:r w:rsidDel="00000000" w:rsidR="00000000" w:rsidRPr="00000000">
        <w:rPr>
          <w:rtl w:val="0"/>
        </w:rPr>
      </w:r>
    </w:p>
    <w:p w:rsidR="00000000" w:rsidDel="00000000" w:rsidP="00000000" w:rsidRDefault="00000000" w:rsidRPr="00000000" w14:paraId="00000034">
      <w:pPr>
        <w:spacing w:after="0" w:before="0" w:lineRule="auto"/>
        <w:rPr>
          <w:color w:val="0000ff"/>
        </w:rPr>
      </w:pPr>
      <w:r w:rsidDel="00000000" w:rsidR="00000000" w:rsidRPr="00000000">
        <w:rPr>
          <w:color w:val="0000ff"/>
          <w:rtl w:val="0"/>
        </w:rPr>
        <w:t xml:space="preserve">The analysis proceeds in three phases, each aligned to one of the research questions established above. Each phase employs a technique selected for its fit with the question it addresses.</w:t>
      </w:r>
    </w:p>
    <w:p w:rsidR="00000000" w:rsidDel="00000000" w:rsidP="00000000" w:rsidRDefault="00000000" w:rsidRPr="00000000" w14:paraId="00000035">
      <w:pPr>
        <w:spacing w:after="0" w:before="0" w:lineRule="auto"/>
        <w:rPr>
          <w:color w:val="0000ff"/>
        </w:rPr>
      </w:pPr>
      <w:r w:rsidDel="00000000" w:rsidR="00000000" w:rsidRPr="00000000">
        <w:rPr>
          <w:rtl w:val="0"/>
        </w:rPr>
      </w:r>
    </w:p>
    <w:p w:rsidR="00000000" w:rsidDel="00000000" w:rsidP="00000000" w:rsidRDefault="00000000" w:rsidRPr="00000000" w14:paraId="00000036">
      <w:pPr>
        <w:spacing w:after="0" w:before="0" w:lineRule="auto"/>
        <w:rPr>
          <w:b w:val="1"/>
          <w:bCs w:val="1"/>
          <w:color w:val="0000ff"/>
        </w:rPr>
      </w:pPr>
      <w:r w:rsidDel="00000000" w:rsidR="00000000" w:rsidRPr="00000000">
        <w:rPr>
          <w:b w:val="1"/>
          <w:bCs w:val="1"/>
          <w:color w:val="0000ff"/>
          <w:rtl w:val="0"/>
        </w:rPr>
        <w:t xml:space="preserve">Phase 1: Regime identification</w:t>
      </w:r>
    </w:p>
    <w:p w:rsidR="00000000" w:rsidDel="00000000" w:rsidP="00000000" w:rsidRDefault="00000000" w:rsidRPr="00000000" w14:paraId="00000037">
      <w:pPr>
        <w:spacing w:after="0" w:before="0" w:lineRule="auto"/>
        <w:rPr>
          <w:b w:val="1"/>
          <w:bCs w:val="1"/>
          <w:color w:val="0000ff"/>
        </w:rPr>
      </w:pPr>
      <w:r w:rsidDel="00000000" w:rsidR="00000000" w:rsidRPr="00000000">
        <w:rPr>
          <w:rtl w:val="0"/>
        </w:rPr>
      </w:r>
    </w:p>
    <w:p w:rsidR="00000000" w:rsidDel="00000000" w:rsidP="00000000" w:rsidRDefault="00000000" w:rsidRPr="00000000" w14:paraId="00000038">
      <w:pPr>
        <w:spacing w:after="0" w:before="0" w:lineRule="auto"/>
        <w:rPr>
          <w:color w:val="0000ff"/>
        </w:rPr>
      </w:pPr>
      <w:r w:rsidDel="00000000" w:rsidR="00000000" w:rsidRPr="00000000">
        <w:rPr>
          <w:color w:val="0000ff"/>
          <w:rtl w:val="0"/>
        </w:rPr>
        <w:t xml:space="preserve">The first research question asks whether monthly macroeconomic and sentiment variables cluster into distinct, interpretable regimes. Gaussian Mixture Modeling (GMM) was selected over K-means and hierarchical clustering for three reasons. First, GMM models each regime as a multivariate Gaussian, allowing for non-spherical cluster shapes and varying cluster sizes; K-means, by contrast, enforces spherical clusters of roughly equal size, which is poorly suited to macroeconomic data where some regimes (such as recession or acute policy shocks) are rare and high-variance. Second, GMM produces probabilistic cluster memberships rather than hard assignments, better representing how economic environments actually transition through periods of partial overlap. Third, model complexity in GMM can be selected through formal information criteria such as the Bayesian Information Criterion (BIC), providing a principled basis for choosing the number of regimes. The combined panel of Federal Funds Rate, unemployment rate, PCE year-over-year growth, mortgage spread, and FOMC sentiment indicators is standardized before clustering to ensure that no single variable dominates the fit due to scale.</w:t>
      </w:r>
    </w:p>
    <w:p w:rsidR="00000000" w:rsidDel="00000000" w:rsidP="00000000" w:rsidRDefault="00000000" w:rsidRPr="00000000" w14:paraId="00000039">
      <w:pPr>
        <w:spacing w:after="0" w:before="0" w:lineRule="auto"/>
        <w:rPr>
          <w:color w:val="0000ff"/>
        </w:rPr>
      </w:pPr>
      <w:r w:rsidDel="00000000" w:rsidR="00000000" w:rsidRPr="00000000">
        <w:rPr>
          <w:rtl w:val="0"/>
        </w:rPr>
      </w:r>
    </w:p>
    <w:p w:rsidR="00000000" w:rsidDel="00000000" w:rsidP="00000000" w:rsidRDefault="00000000" w:rsidRPr="00000000" w14:paraId="0000003A">
      <w:pPr>
        <w:spacing w:after="0" w:before="0" w:lineRule="auto"/>
        <w:rPr>
          <w:b w:val="1"/>
          <w:bCs w:val="1"/>
          <w:color w:val="0000ff"/>
        </w:rPr>
      </w:pPr>
      <w:r w:rsidDel="00000000" w:rsidR="00000000" w:rsidRPr="00000000">
        <w:rPr>
          <w:b w:val="1"/>
          <w:bCs w:val="1"/>
          <w:color w:val="0000ff"/>
          <w:rtl w:val="0"/>
        </w:rPr>
        <w:t xml:space="preserve">Phase 2: Segment-level heterogeneity testing</w:t>
      </w:r>
    </w:p>
    <w:p w:rsidR="00000000" w:rsidDel="00000000" w:rsidP="00000000" w:rsidRDefault="00000000" w:rsidRPr="00000000" w14:paraId="0000003B">
      <w:pPr>
        <w:spacing w:after="0" w:before="0" w:lineRule="auto"/>
        <w:rPr>
          <w:color w:val="0000ff"/>
        </w:rPr>
      </w:pPr>
      <w:r w:rsidDel="00000000" w:rsidR="00000000" w:rsidRPr="00000000">
        <w:rPr>
          <w:rtl w:val="0"/>
        </w:rPr>
      </w:r>
    </w:p>
    <w:p w:rsidR="00000000" w:rsidDel="00000000" w:rsidP="00000000" w:rsidRDefault="00000000" w:rsidRPr="00000000" w14:paraId="0000003C">
      <w:pPr>
        <w:spacing w:after="0" w:before="0" w:lineRule="auto"/>
        <w:rPr>
          <w:color w:val="0000ff"/>
        </w:rPr>
      </w:pPr>
      <w:r w:rsidDel="00000000" w:rsidR="00000000" w:rsidRPr="00000000">
        <w:rPr>
          <w:color w:val="0000ff"/>
          <w:rtl w:val="0"/>
        </w:rPr>
        <w:t xml:space="preserve">The second research question asks whether apartment prices differ across regimes and whether those differences vary by segment. A two-way Analysis of Variance (ANOVA) is appropriate because it simultaneously tests the main effect of regime, the main effect of apartment segment, and the interaction between the two. The interaction term is the substantive test of interest: a significant interaction indicates that the effect of regime on price depends on apartment type, which is the segment-level heterogeneity central to the research question. Log-transformed median sale price is used as the dependent variable to accommodate right-skewed apartment prices and stabilize variance across segments. Apartment type is operationalized by bedroom count, with neighborhood included as an additional grouping variable. ANOVA was chosen over alternatives such as mixed-effects regression because the research question concerns the existence and structure of the interaction effect rather than the estimation of specific coefficients.</w:t>
      </w:r>
    </w:p>
    <w:p w:rsidR="00000000" w:rsidDel="00000000" w:rsidP="00000000" w:rsidRDefault="00000000" w:rsidRPr="00000000" w14:paraId="0000003D">
      <w:pPr>
        <w:spacing w:after="0" w:before="0" w:lineRule="auto"/>
        <w:rPr>
          <w:color w:val="0000ff"/>
        </w:rPr>
      </w:pPr>
      <w:r w:rsidDel="00000000" w:rsidR="00000000" w:rsidRPr="00000000">
        <w:rPr>
          <w:rtl w:val="0"/>
        </w:rPr>
      </w:r>
    </w:p>
    <w:p w:rsidR="00000000" w:rsidDel="00000000" w:rsidP="00000000" w:rsidRDefault="00000000" w:rsidRPr="00000000" w14:paraId="0000003E">
      <w:pPr>
        <w:spacing w:after="0" w:before="0" w:lineRule="auto"/>
        <w:rPr>
          <w:b w:val="1"/>
          <w:bCs w:val="1"/>
          <w:color w:val="0000ff"/>
        </w:rPr>
      </w:pPr>
      <w:r w:rsidDel="00000000" w:rsidR="00000000" w:rsidRPr="00000000">
        <w:rPr>
          <w:b w:val="1"/>
          <w:bCs w:val="1"/>
          <w:color w:val="0000ff"/>
          <w:rtl w:val="0"/>
        </w:rPr>
        <w:t xml:space="preserve">Phase 3: Predictive Modeling</w:t>
      </w:r>
    </w:p>
    <w:p w:rsidR="00000000" w:rsidDel="00000000" w:rsidP="00000000" w:rsidRDefault="00000000" w:rsidRPr="00000000" w14:paraId="0000003F">
      <w:pPr>
        <w:spacing w:after="0" w:before="0" w:lineRule="auto"/>
        <w:rPr>
          <w:color w:val="0000ff"/>
        </w:rPr>
      </w:pPr>
      <w:r w:rsidDel="00000000" w:rsidR="00000000" w:rsidRPr="00000000">
        <w:rPr>
          <w:rtl w:val="0"/>
        </w:rPr>
      </w:r>
    </w:p>
    <w:p w:rsidR="00000000" w:rsidDel="00000000" w:rsidP="00000000" w:rsidRDefault="00000000" w:rsidRPr="00000000" w14:paraId="00000040">
      <w:pPr>
        <w:spacing w:after="240" w:before="240" w:lineRule="auto"/>
        <w:rPr>
          <w:color w:val="0000ff"/>
        </w:rPr>
      </w:pPr>
      <w:r w:rsidDel="00000000" w:rsidR="00000000" w:rsidRPr="00000000">
        <w:rPr>
          <w:color w:val="0000ff"/>
          <w:rtl w:val="0"/>
        </w:rPr>
        <w:t xml:space="preserve">The third research question asks whether regime classification and textual sentiment improve predictive accuracy over a macroeconomic baseline. Random Forest regression was selected because the relationship between macroeconomic conditions and segment-level apartment prices is unlikely to be linear: different segments respond differently, and the effects of interest rates and inflation plausibly interact with other variables in ways a linear specification would miss. Random Forest captures nonlinear relationships and feature interactions without requiring them to be specified in advance, and it handles mixed feature types (continuous macroeconomic variables, categorical regime and segment dummies) without the transformations linear models require.</w:t>
      </w:r>
    </w:p>
    <w:p w:rsidR="00000000" w:rsidDel="00000000" w:rsidP="00000000" w:rsidRDefault="00000000" w:rsidRPr="00000000" w14:paraId="00000041">
      <w:pPr>
        <w:spacing w:after="240" w:before="240" w:lineRule="auto"/>
        <w:rPr>
          <w:color w:val="0000ff"/>
        </w:rPr>
      </w:pPr>
      <w:r w:rsidDel="00000000" w:rsidR="00000000" w:rsidRPr="00000000">
        <w:rPr>
          <w:color w:val="0000ff"/>
          <w:rtl w:val="0"/>
        </w:rPr>
        <w:t xml:space="preserve">Three specifications are compared: a baseline using macroeconomic indicators and segment fixed effects; a second adding FOMC sentiment scores; and a third adding regime classification dummies. Performance is evaluated on a time-based train-test split, with the final twenty percent of the sample reserved for testing, to avoid the forward-looking contamination that random splits introduce in time-series data. Root Mean Squared Error (RMSE), Mean Absolute Error (MAE), and R-squared are reported, with RMSE as the primary criterion.</w:t>
      </w:r>
    </w:p>
    <w:p w:rsidR="00000000" w:rsidDel="00000000" w:rsidP="00000000" w:rsidRDefault="00000000" w:rsidRPr="00000000" w14:paraId="00000042">
      <w:pPr>
        <w:spacing w:after="0" w:before="0" w:lineRule="auto"/>
        <w:rPr>
          <w:color w:val="0000ff"/>
        </w:rPr>
      </w:pPr>
      <w:r w:rsidDel="00000000" w:rsidR="00000000" w:rsidRPr="00000000">
        <w:rPr>
          <w:rtl w:val="0"/>
        </w:rPr>
      </w:r>
    </w:p>
    <w:p w:rsidR="00000000" w:rsidDel="00000000" w:rsidP="00000000" w:rsidRDefault="00000000" w:rsidRPr="00000000" w14:paraId="00000043">
      <w:pPr>
        <w:pStyle w:val="Heading3"/>
        <w:rPr>
          <w:b w:val="1"/>
          <w:bCs w:val="1"/>
          <w:color w:val="0000ff"/>
        </w:rPr>
      </w:pPr>
      <w:bookmarkStart w:colFirst="0" w:colLast="0" w:name="_5i0dsppqynlw" w:id="9"/>
      <w:bookmarkEnd w:id="9"/>
      <w:r w:rsidDel="00000000" w:rsidR="00000000" w:rsidRPr="00000000">
        <w:rPr>
          <w:b w:val="1"/>
          <w:bCs w:val="1"/>
          <w:color w:val="0000ff"/>
          <w:rtl w:val="0"/>
        </w:rPr>
        <w:t xml:space="preserve">Findings and Analysis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Key Findings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0" w:before="0" w:lineRule="auto"/>
        <w:rPr>
          <w:color w:val="0000ff"/>
        </w:rPr>
      </w:pPr>
      <w:r w:rsidDel="00000000" w:rsidR="00000000" w:rsidRPr="00000000">
        <w:rPr>
          <w:rtl w:val="0"/>
        </w:rPr>
      </w:r>
    </w:p>
    <w:p w:rsidR="00000000" w:rsidDel="00000000" w:rsidP="00000000" w:rsidRDefault="00000000" w:rsidRPr="00000000" w14:paraId="00000048">
      <w:pPr>
        <w:pStyle w:val="Heading3"/>
        <w:rPr>
          <w:b w:val="1"/>
          <w:bCs w:val="1"/>
          <w:color w:val="0000ff"/>
        </w:rPr>
      </w:pPr>
      <w:bookmarkStart w:colFirst="0" w:colLast="0" w:name="_704dgpg40qxn" w:id="10"/>
      <w:bookmarkEnd w:id="10"/>
      <w:r w:rsidDel="00000000" w:rsidR="00000000" w:rsidRPr="00000000">
        <w:rPr>
          <w:b w:val="1"/>
          <w:bCs w:val="1"/>
          <w:color w:val="0000ff"/>
          <w:rtl w:val="0"/>
        </w:rPr>
        <w:t xml:space="preserve">Limitations </w:t>
      </w:r>
    </w:p>
    <w:p w:rsidR="00000000" w:rsidDel="00000000" w:rsidP="00000000" w:rsidRDefault="00000000" w:rsidRPr="00000000" w14:paraId="00000049">
      <w:pPr>
        <w:rPr>
          <w:color w:val="0000ff"/>
        </w:rPr>
      </w:pPr>
      <w:r w:rsidDel="00000000" w:rsidR="00000000" w:rsidRPr="00000000">
        <w:rPr>
          <w:rtl w:val="0"/>
        </w:rPr>
      </w:r>
    </w:p>
    <w:p w:rsidR="00000000" w:rsidDel="00000000" w:rsidP="00000000" w:rsidRDefault="00000000" w:rsidRPr="00000000" w14:paraId="0000004A">
      <w:pPr>
        <w:rPr>
          <w:color w:val="0000ff"/>
        </w:rPr>
      </w:pPr>
      <w:r w:rsidDel="00000000" w:rsidR="00000000" w:rsidRPr="00000000">
        <w:rPr>
          <w:color w:val="0000ff"/>
          <w:rtl w:val="0"/>
        </w:rPr>
        <w:t xml:space="preserve">Several limitations qualify the findings:</w:t>
      </w:r>
    </w:p>
    <w:p w:rsidR="00000000" w:rsidDel="00000000" w:rsidP="00000000" w:rsidRDefault="00000000" w:rsidRPr="00000000" w14:paraId="0000004B">
      <w:pPr>
        <w:spacing w:after="240" w:before="240" w:lineRule="auto"/>
        <w:rPr>
          <w:color w:val="0000ff"/>
        </w:rPr>
      </w:pPr>
      <w:r w:rsidDel="00000000" w:rsidR="00000000" w:rsidRPr="00000000">
        <w:rPr>
          <w:b w:val="1"/>
          <w:bCs w:val="1"/>
          <w:color w:val="0000ff"/>
          <w:rtl w:val="0"/>
        </w:rPr>
        <w:t xml:space="preserve">Regime stability depends on historical coverage.</w:t>
      </w:r>
      <w:r w:rsidDel="00000000" w:rsidR="00000000" w:rsidRPr="00000000">
        <w:rPr>
          <w:color w:val="0000ff"/>
          <w:rtl w:val="0"/>
        </w:rPr>
        <w:t xml:space="preserve"> With ten years of monthly data, the most extreme regimes (acute COVID shock, peak tightening) are observed only briefly. The regime structure may not generalize to future macroeconomic environments that differ substantially from 2016–2025.</w:t>
      </w:r>
    </w:p>
    <w:p w:rsidR="00000000" w:rsidDel="00000000" w:rsidP="00000000" w:rsidRDefault="00000000" w:rsidRPr="00000000" w14:paraId="0000004C">
      <w:pPr>
        <w:spacing w:after="240" w:before="240" w:lineRule="auto"/>
        <w:rPr>
          <w:color w:val="0000ff"/>
        </w:rPr>
      </w:pPr>
      <w:r w:rsidDel="00000000" w:rsidR="00000000" w:rsidRPr="00000000">
        <w:rPr>
          <w:b w:val="1"/>
          <w:bCs w:val="1"/>
          <w:color w:val="0000ff"/>
          <w:rtl w:val="0"/>
        </w:rPr>
        <w:t xml:space="preserve">Aggregation masks within-segment variation.</w:t>
      </w:r>
      <w:r w:rsidDel="00000000" w:rsidR="00000000" w:rsidRPr="00000000">
        <w:rPr>
          <w:color w:val="0000ff"/>
          <w:rtl w:val="0"/>
        </w:rPr>
        <w:t xml:space="preserve"> Using median prices within (Sub-Neighborhood × Bedroom) segments smooths property-specific characteristics such as age, renovation status, and floor. A richer property-level model would require hedonic controls unavailable in the transaction exports.</w:t>
      </w:r>
    </w:p>
    <w:p w:rsidR="00000000" w:rsidDel="00000000" w:rsidP="00000000" w:rsidRDefault="00000000" w:rsidRPr="00000000" w14:paraId="0000004D">
      <w:pPr>
        <w:spacing w:after="240" w:before="240" w:lineRule="auto"/>
        <w:rPr>
          <w:color w:val="0000ff"/>
        </w:rPr>
      </w:pPr>
      <w:r w:rsidDel="00000000" w:rsidR="00000000" w:rsidRPr="00000000">
        <w:rPr>
          <w:b w:val="1"/>
          <w:bCs w:val="1"/>
          <w:color w:val="0000ff"/>
          <w:rtl w:val="0"/>
        </w:rPr>
        <w:t xml:space="preserve">Feature release timing.</w:t>
      </w:r>
      <w:r w:rsidDel="00000000" w:rsidR="00000000" w:rsidRPr="00000000">
        <w:rPr>
          <w:color w:val="0000ff"/>
          <w:rtl w:val="0"/>
        </w:rPr>
        <w:t xml:space="preserve"> Macroeconomic indicators and FOMC sentiment at month t are not all known simultaneously in practice. The current specification treats them as contemporaneously available, which is appropriate for structural interpretation but may overstate predictive performance in a live forecasting setting. [If you implement lagging before submission, revise this paragraph.]</w:t>
      </w:r>
    </w:p>
    <w:p w:rsidR="00000000" w:rsidDel="00000000" w:rsidP="00000000" w:rsidRDefault="00000000" w:rsidRPr="00000000" w14:paraId="0000004E">
      <w:pPr>
        <w:spacing w:after="240" w:before="240" w:lineRule="auto"/>
        <w:rPr>
          <w:color w:val="0000ff"/>
        </w:rPr>
      </w:pPr>
      <w:r w:rsidDel="00000000" w:rsidR="00000000" w:rsidRPr="00000000">
        <w:rPr>
          <w:b w:val="1"/>
          <w:bCs w:val="1"/>
          <w:color w:val="0000ff"/>
          <w:rtl w:val="0"/>
        </w:rPr>
        <w:t xml:space="preserve">Sentiment features showed limited marginal value.</w:t>
      </w:r>
      <w:r w:rsidDel="00000000" w:rsidR="00000000" w:rsidRPr="00000000">
        <w:rPr>
          <w:color w:val="0000ff"/>
          <w:rtl w:val="0"/>
        </w:rPr>
        <w:t xml:space="preserve"> Adding LM sentiment scores on their own provides minimal improvement over macro-only prediction. Sentiment's value appears to be absorbed through the regime construction, where it shapes cluster boundaries rather than acting as an independent signal.</w:t>
      </w:r>
    </w:p>
    <w:p w:rsidR="00000000" w:rsidDel="00000000" w:rsidP="00000000" w:rsidRDefault="00000000" w:rsidRPr="00000000" w14:paraId="0000004F">
      <w:pPr>
        <w:pStyle w:val="Heading3"/>
        <w:rPr>
          <w:b w:val="1"/>
          <w:bCs w:val="1"/>
          <w:color w:val="0000ff"/>
        </w:rPr>
      </w:pPr>
      <w:bookmarkStart w:colFirst="0" w:colLast="0" w:name="_tgvspz3p1o5x" w:id="11"/>
      <w:bookmarkEnd w:id="11"/>
      <w:r w:rsidDel="00000000" w:rsidR="00000000" w:rsidRPr="00000000">
        <w:rPr>
          <w:b w:val="1"/>
          <w:bCs w:val="1"/>
          <w:color w:val="0000ff"/>
          <w:rtl w:val="0"/>
        </w:rPr>
        <w:t xml:space="preserve">Recommendations</w:t>
      </w:r>
    </w:p>
    <w:p w:rsidR="00000000" w:rsidDel="00000000" w:rsidP="00000000" w:rsidRDefault="00000000" w:rsidRPr="00000000" w14:paraId="00000050">
      <w:pPr>
        <w:spacing w:after="240" w:before="240" w:lineRule="auto"/>
        <w:rPr>
          <w:color w:val="0000ff"/>
        </w:rPr>
      </w:pPr>
      <w:r w:rsidDel="00000000" w:rsidR="00000000" w:rsidRPr="00000000">
        <w:rPr>
          <w:b w:val="1"/>
          <w:bCs w:val="1"/>
          <w:color w:val="0000ff"/>
          <w:rtl w:val="0"/>
        </w:rPr>
        <w:t xml:space="preserve">For real-estate investors.</w:t>
      </w:r>
      <w:r w:rsidDel="00000000" w:rsidR="00000000" w:rsidRPr="00000000">
        <w:rPr>
          <w:color w:val="0000ff"/>
          <w:rtl w:val="0"/>
        </w:rPr>
        <w:t xml:space="preserve"> Cross-regime price variance concentrates in larger apartments. In environments signaling regime transition toward tightening, smaller units (studios and one-bedrooms) have historically exhibited more stable prices than 3+ bedroom units. Portfolio allocation should therefore reflect the prevailing regime: tighter regimes warrant overweighting smaller segments; accommodative regimes open up upside in larger units.</w:t>
      </w:r>
    </w:p>
    <w:p w:rsidR="00000000" w:rsidDel="00000000" w:rsidP="00000000" w:rsidRDefault="00000000" w:rsidRPr="00000000" w14:paraId="00000051">
      <w:pPr>
        <w:spacing w:after="240" w:before="240" w:lineRule="auto"/>
        <w:rPr>
          <w:color w:val="0000ff"/>
        </w:rPr>
      </w:pPr>
      <w:r w:rsidDel="00000000" w:rsidR="00000000" w:rsidRPr="00000000">
        <w:rPr>
          <w:b w:val="1"/>
          <w:bCs w:val="1"/>
          <w:color w:val="0000ff"/>
          <w:rtl w:val="0"/>
        </w:rPr>
        <w:t xml:space="preserve">For mortgage underwriters and risk analysts.</w:t>
      </w:r>
      <w:r w:rsidDel="00000000" w:rsidR="00000000" w:rsidRPr="00000000">
        <w:rPr>
          <w:color w:val="0000ff"/>
          <w:rtl w:val="0"/>
        </w:rPr>
        <w:t xml:space="preserve"> Segment-level price sensitivity, not borough-level averages, should drive loan-to-value assumptions and risk pricing. The observed regime × beds interaction (</w:t>
      </w:r>
      <w:r w:rsidDel="00000000" w:rsidR="00000000" w:rsidRPr="00000000">
        <w:rPr>
          <w:color w:val="0000ff"/>
          <w:highlight w:val="yellow"/>
          <w:rtl w:val="0"/>
        </w:rPr>
        <w:t xml:space="preserve">[TK effect size]</w:t>
      </w:r>
      <w:r w:rsidDel="00000000" w:rsidR="00000000" w:rsidRPr="00000000">
        <w:rPr>
          <w:color w:val="0000ff"/>
          <w:rtl w:val="0"/>
        </w:rPr>
        <w:t xml:space="preserve">) implies that underwriting models assuming uniform price stability across segments will systematically underprice risk in larger units during tightening regimes.</w:t>
      </w:r>
    </w:p>
    <w:p w:rsidR="00000000" w:rsidDel="00000000" w:rsidP="00000000" w:rsidRDefault="00000000" w:rsidRPr="00000000" w14:paraId="00000052">
      <w:pPr>
        <w:spacing w:after="240" w:before="240" w:lineRule="auto"/>
        <w:rPr>
          <w:color w:val="0000ff"/>
        </w:rPr>
      </w:pPr>
      <w:r w:rsidDel="00000000" w:rsidR="00000000" w:rsidRPr="00000000">
        <w:rPr>
          <w:b w:val="1"/>
          <w:bCs w:val="1"/>
          <w:color w:val="0000ff"/>
          <w:rtl w:val="0"/>
        </w:rPr>
        <w:t xml:space="preserve">For forecasters building housing models.</w:t>
      </w:r>
      <w:r w:rsidDel="00000000" w:rsidR="00000000" w:rsidRPr="00000000">
        <w:rPr>
          <w:color w:val="0000ff"/>
          <w:rtl w:val="0"/>
        </w:rPr>
        <w:t xml:space="preserve"> Discrete regime classification captures nonlinear macroeconomic effects more efficiently than raw macro indicators alone. Incorporating GMM-derived regimes improved predictive RMSE by</w:t>
      </w:r>
      <w:r w:rsidDel="00000000" w:rsidR="00000000" w:rsidRPr="00000000">
        <w:rPr>
          <w:color w:val="0000ff"/>
          <w:highlight w:val="yellow"/>
          <w:rtl w:val="0"/>
        </w:rPr>
        <w:t xml:space="preserve"> [TK]% </w:t>
      </w:r>
      <w:r w:rsidDel="00000000" w:rsidR="00000000" w:rsidRPr="00000000">
        <w:rPr>
          <w:color w:val="0000ff"/>
          <w:rtl w:val="0"/>
        </w:rPr>
        <w:t xml:space="preserve">over macro-only specifications, suggesting that regime-aware models should be standard for segment-level forecasting applications.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br w:type="textWrapping"/>
        <w:br w:type="textWrapping"/>
        <w:br w:type="textWrapping"/>
        <w:br w:type="textWrapping"/>
        <w:br w:type="textWrapping"/>
        <w:t xml:space="preserve">References:</w:t>
        <w:br w:type="textWrapping"/>
        <w:br w:type="textWrapping"/>
        <w:br w:type="textWrapping"/>
        <w:t xml:space="preserve">New: </w:t>
      </w:r>
    </w:p>
    <w:p w:rsidR="00000000" w:rsidDel="00000000" w:rsidP="00000000" w:rsidRDefault="00000000" w:rsidRPr="00000000" w14:paraId="0000005C">
      <w:pPr>
        <w:rPr/>
      </w:pPr>
      <w:r w:rsidDel="00000000" w:rsidR="00000000" w:rsidRPr="00000000">
        <w:rPr>
          <w:rtl w:val="0"/>
        </w:rPr>
        <w:br w:type="textWrapping"/>
      </w:r>
      <w:r w:rsidDel="00000000" w:rsidR="00000000" w:rsidRPr="00000000">
        <w:rPr>
          <w:b w:val="1"/>
          <w:bCs w:val="1"/>
          <w:rtl w:val="0"/>
        </w:rPr>
        <w:t xml:space="preserve">Kuttner, K. N. (2013).</w:t>
      </w:r>
      <w:r w:rsidDel="00000000" w:rsidR="00000000" w:rsidRPr="00000000">
        <w:rPr>
          <w:rtl w:val="0"/>
        </w:rPr>
        <w:t xml:space="preserve"> Low interest rates and housing bubbles: Still no smoking gun. In D. D. Evanoff, C. Holthausen, G. G. Kaufman, &amp; M. Kremer (Eds.), </w:t>
      </w:r>
      <w:r w:rsidDel="00000000" w:rsidR="00000000" w:rsidRPr="00000000">
        <w:rPr>
          <w:i w:val="1"/>
          <w:iCs w:val="1"/>
          <w:rtl w:val="0"/>
        </w:rPr>
        <w:t xml:space="preserve">The role of central banks in financial stability: How has it changed?</w:t>
      </w:r>
      <w:r w:rsidDel="00000000" w:rsidR="00000000" w:rsidRPr="00000000">
        <w:rPr>
          <w:rtl w:val="0"/>
        </w:rPr>
        <w:t xml:space="preserve"> (pp. 159–185). World Scientific Publishing.</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ysia Suhandinata" w:id="4" w:date="2026-04-18T19:51:01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of a "regime" as stated in the feedback from proposal</w:t>
      </w:r>
    </w:p>
  </w:comment>
  <w:comment w:author="Elysia Suhandinata" w:id="6" w:date="2026-04-18T17:49:29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redundant but i like the phrasing</w:t>
      </w:r>
    </w:p>
  </w:comment>
  <w:comment w:author="Elysia Suhandinata" w:id="5" w:date="2026-04-18T19:51:18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suggests research focus and importance</w:t>
      </w:r>
    </w:p>
  </w:comment>
  <w:comment w:author="Elysia Suhandinata" w:id="7" w:date="2026-04-18T17:50:18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feels like this finding was just thrown in there, improve the link</w:t>
      </w:r>
    </w:p>
  </w:comment>
  <w:comment w:author="Elysia Suhandinata" w:id="0" w:date="2026-04-18T17:51:47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executive summary for a research paper should be a stand-alone document that provides a comprehensive overview of the entire study, focusing heavily on findings and actionable recommendations.</w:t>
      </w:r>
    </w:p>
  </w:comment>
  <w:comment w:author="Elysia Suhandinata" w:id="1" w:date="2026-04-18T17:52:31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sets the landscape</w:t>
      </w:r>
    </w:p>
  </w:comment>
  <w:comment w:author="Elysia Suhandinata" w:id="2" w:date="2026-04-18T19:50:3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housing with economic movement</w:t>
      </w:r>
    </w:p>
  </w:comment>
  <w:comment w:author="Elysia Suhandinata" w:id="8" w:date="2026-04-17T23:18:19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Avoid repeating the exec sum.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Articulate the gap (why this question is under-studied or under-answered, grounded in existing work)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Formalizes the research question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Frames the intellectual contribution (what this study adds)</w:t>
      </w:r>
    </w:p>
  </w:comment>
  <w:comment w:author="Elysia Suhandinata" w:id="3" w:date="2026-04-18T19:50:51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example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