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9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rPr>
          <w:trHeight w:val="5200" w:hRule="atLeast"/>
        </w:trP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5F5E" w:color="auto" w:val="clear"/>
            <w:tcMar>
              <w:top w:type="dxa" w:w="400"/>
              <w:left w:type="dxa" w:w="640"/>
              <w:bottom w:type="dxa" w:w="400"/>
              <w:right w:type="dxa" w:w="640"/>
            </w:tcMar>
            <w:vAlign w:val="center"/>
          </w:tcPr>
          <w:p>
            <w:pPr>
              <w:spacing w:after="160"/>
            </w:pPr>
            <w:r>
              <w:rPr>
                <w:b/>
                <w:bCs/>
                <w:color w:val="BFE3E1"/>
                <w:spacing w:val="80"/>
                <w:sz w:val="20"/>
                <w:szCs w:val="20"/>
              </w:rPr>
              <w:t xml:space="preserve">DOCUMENTACIÓN DEL PROYECTO</w:t>
            </w:r>
          </w:p>
          <w:p>
            <w:pPr>
              <w:spacing w:after="120"/>
            </w:pPr>
            <w:r>
              <w:rPr>
                <w:b/>
                <w:bCs/>
                <w:color w:val="FFFFFF"/>
                <w:sz w:val="128"/>
                <w:szCs w:val="128"/>
              </w:rPr>
              <w:t xml:space="preserve">MiZona</w:t>
            </w:r>
          </w:p>
          <w:p>
            <w:pPr>
              <w:pBdr>
                <w:bottom w:val="single" w:color="7FD0CC" w:sz="12" w:space="14"/>
              </w:pBdr>
              <w:spacing w:after="360"/>
            </w:pPr>
            <w:r>
              <w:rPr>
                <w:color w:val="FFFFFF"/>
                <w:sz w:val="36"/>
                <w:szCs w:val="36"/>
              </w:rPr>
              <w:t xml:space="preserve">Avisos municipales por zona</w:t>
            </w:r>
          </w:p>
          <w:p>
            <w:pPr>
              <w:spacing w:line="320"/>
            </w:pPr>
            <w:r>
              <w:rPr>
                <w:color w:val="D6EEEC"/>
                <w:sz w:val="24"/>
                <w:szCs w:val="24"/>
              </w:rPr>
              <w:t xml:space="preserve">MiZona permite consultar avisos municipales por zona, recibirlos por correo y gestionarlos desde un panel con roles.</w:t>
            </w:r>
          </w:p>
        </w:tc>
      </w:tr>
    </w:tbl>
    <w:p>
      <w:pPr>
        <w:spacing w:after="60" w:before="360"/>
      </w:pPr>
      <w:r>
        <w:rPr>
          <w:b/>
          <w:bCs/>
          <w:color w:val="1F3A5F"/>
          <w:sz w:val="26"/>
          <w:szCs w:val="26"/>
        </w:rPr>
        <w:t xml:space="preserve">Arquitectura  ·  Referencia de API</w:t>
      </w:r>
    </w:p>
    <w:p>
      <w:pPr>
        <w:spacing w:after="0"/>
      </w:pPr>
      <w:r>
        <w:rPr>
          <w:color w:val="555555"/>
          <w:sz w:val="22"/>
          <w:szCs w:val="22"/>
        </w:rPr>
        <w:t xml:space="preserve">Octubre de 2026</w:t>
      </w:r>
    </w:p>
    <w:p>
      <w:pPr>
        <w:pageBreakBefore/>
        <w:spacing w:after="0"/>
      </w:pPr>
    </w:p>
    <w:p>
      <w:pPr>
        <w:pBdr>
          <w:bottom w:val="single" w:color="0E7C7B" w:sz="12" w:space="6"/>
        </w:pBdr>
        <w:spacing w:after="160"/>
      </w:pPr>
      <w:r>
        <w:rPr>
          <w:b/>
          <w:bCs/>
          <w:color w:val="1F3A5F"/>
          <w:sz w:val="40"/>
          <w:szCs w:val="40"/>
        </w:rPr>
        <w:t xml:space="preserve">Contenido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E7C7B"/>
                <w:spacing w:val="40"/>
                <w:sz w:val="20"/>
                <w:szCs w:val="20"/>
              </w:rPr>
              <w:t xml:space="preserve">PARTE 1 · ARQUITECTURA</w:t>
            </w:r>
          </w:p>
          <w:p>
            <w:pPr>
              <w:spacing w:after="70"/>
            </w:pPr>
            <w:hyperlink w:history="1" w:anchor="sec_componentes">
              <w:r>
                <w:rPr>
                  <w:color w:val="1F3A5F"/>
                  <w:sz w:val="22"/>
                  <w:szCs w:val="22"/>
                </w:rPr>
                <w:t xml:space="preserve">Componentes</w:t>
              </w:r>
            </w:hyperlink>
          </w:p>
          <w:p>
            <w:pPr>
              <w:spacing w:after="70"/>
            </w:pPr>
            <w:hyperlink w:history="1" w:anchor="sec_backend">
              <w:r>
                <w:rPr>
                  <w:color w:val="1F3A5F"/>
                  <w:sz w:val="22"/>
                  <w:szCs w:val="22"/>
                </w:rPr>
                <w:t xml:space="preserve">Organización del backend</w:t>
              </w:r>
            </w:hyperlink>
          </w:p>
          <w:p>
            <w:pPr>
              <w:spacing w:after="70"/>
            </w:pPr>
            <w:hyperlink w:history="1" w:anchor="sec_roles">
              <w:r>
                <w:rPr>
                  <w:color w:val="1F3A5F"/>
                  <w:sz w:val="22"/>
                  <w:szCs w:val="22"/>
                </w:rPr>
                <w:t xml:space="preserve">Roles y acceso</w:t>
              </w:r>
            </w:hyperlink>
          </w:p>
          <w:p>
            <w:pPr>
              <w:spacing w:after="70"/>
            </w:pPr>
            <w:hyperlink w:history="1" w:anchor="sec_notificaciones">
              <w:r>
                <w:rPr>
                  <w:color w:val="1F3A5F"/>
                  <w:sz w:val="22"/>
                  <w:szCs w:val="22"/>
                </w:rPr>
                <w:t xml:space="preserve">Flujo de notificaciones</w:t>
              </w:r>
            </w:hyperlink>
          </w:p>
          <w:p>
            <w:pPr>
              <w:spacing w:after="70"/>
            </w:pPr>
            <w:hyperlink w:history="1" w:anchor="sec_bd">
              <w:r>
                <w:rPr>
                  <w:color w:val="1F3A5F"/>
                  <w:sz w:val="22"/>
                  <w:szCs w:val="22"/>
                </w:rPr>
                <w:t xml:space="preserve">Base de datos</w:t>
              </w:r>
            </w:hyperlink>
          </w:p>
          <w:p>
            <w:pPr>
              <w:spacing w:after="70"/>
            </w:pPr>
            <w:hyperlink w:history="1" w:anchor="sec_config">
              <w:r>
                <w:rPr>
                  <w:color w:val="1F3A5F"/>
                  <w:sz w:val="22"/>
                  <w:szCs w:val="22"/>
                </w:rPr>
                <w:t xml:space="preserve">Configuración y despliegue</w:t>
              </w:r>
            </w:hyperlink>
          </w:p>
          <w:p>
            <w:pPr>
              <w:spacing w:after="70"/>
            </w:pPr>
            <w:hyperlink w:history="1" w:anchor="sec_pruebas">
              <w:r>
                <w:rPr>
                  <w:color w:val="1F3A5F"/>
                  <w:sz w:val="22"/>
                  <w:szCs w:val="22"/>
                </w:rPr>
                <w:t xml:space="preserve">Pruebas</w:t>
              </w:r>
            </w:hyperlink>
          </w:p>
        </w:tc>
        <w:tc>
          <w:tcPr>
            <w:tcW w:type="dxa" w:w="5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0E7C7B"/>
                <w:spacing w:val="40"/>
                <w:sz w:val="20"/>
                <w:szCs w:val="20"/>
              </w:rPr>
              <w:t xml:space="preserve">PARTE 2 · REFERENCIA DE API</w:t>
            </w:r>
          </w:p>
          <w:p>
            <w:pPr>
              <w:spacing w:after="70"/>
            </w:pPr>
            <w:hyperlink w:history="1" w:anchor="sec_convenciones">
              <w:r>
                <w:rPr>
                  <w:color w:val="1F3A5F"/>
                  <w:sz w:val="22"/>
                  <w:szCs w:val="22"/>
                </w:rPr>
                <w:t xml:space="preserve">Convenciones</w:t>
              </w:r>
            </w:hyperlink>
          </w:p>
          <w:p>
            <w:pPr>
              <w:spacing w:after="70"/>
            </w:pPr>
            <w:hyperlink w:history="1" w:anchor="sec_salud">
              <w:r>
                <w:rPr>
                  <w:color w:val="1F3A5F"/>
                  <w:sz w:val="22"/>
                  <w:szCs w:val="22"/>
                </w:rPr>
                <w:t xml:space="preserve">Salud</w:t>
              </w:r>
            </w:hyperlink>
          </w:p>
          <w:p>
            <w:pPr>
              <w:spacing w:after="70"/>
            </w:pPr>
            <w:hyperlink w:history="1" w:anchor="sec_auth">
              <w:r>
                <w:rPr>
                  <w:color w:val="1F3A5F"/>
                  <w:sz w:val="22"/>
                  <w:szCs w:val="22"/>
                </w:rPr>
                <w:t xml:space="preserve">Autenticación y perfil</w:t>
              </w:r>
            </w:hyperlink>
          </w:p>
          <w:p>
            <w:pPr>
              <w:spacing w:after="70"/>
            </w:pPr>
            <w:hyperlink w:history="1" w:anchor="sec_usuarios">
              <w:r>
                <w:rPr>
                  <w:color w:val="1F3A5F"/>
                  <w:sz w:val="22"/>
                  <w:szCs w:val="22"/>
                </w:rPr>
                <w:t xml:space="preserve">Usuarios</w:t>
              </w:r>
            </w:hyperlink>
          </w:p>
          <w:p>
            <w:pPr>
              <w:spacing w:after="70"/>
            </w:pPr>
            <w:hyperlink w:history="1" w:anchor="sec_catalogos">
              <w:r>
                <w:rPr>
                  <w:color w:val="1F3A5F"/>
                  <w:sz w:val="22"/>
                  <w:szCs w:val="22"/>
                </w:rPr>
                <w:t xml:space="preserve">Catálogos</w:t>
              </w:r>
            </w:hyperlink>
          </w:p>
          <w:p>
            <w:pPr>
              <w:spacing w:after="70"/>
            </w:pPr>
            <w:hyperlink w:history="1" w:anchor="sec_avisos">
              <w:r>
                <w:rPr>
                  <w:color w:val="1F3A5F"/>
                  <w:sz w:val="22"/>
                  <w:szCs w:val="22"/>
                </w:rPr>
                <w:t xml:space="preserve">Avisos</w:t>
              </w:r>
            </w:hyperlink>
          </w:p>
          <w:p>
            <w:pPr>
              <w:spacing w:after="70"/>
            </w:pPr>
            <w:hyperlink w:history="1" w:anchor="sec_suscripciones">
              <w:r>
                <w:rPr>
                  <w:color w:val="1F3A5F"/>
                  <w:sz w:val="22"/>
                  <w:szCs w:val="22"/>
                </w:rPr>
                <w:t xml:space="preserve">Suscripciones</w:t>
              </w:r>
            </w:hyperlink>
          </w:p>
          <w:p>
            <w:pPr>
              <w:spacing w:after="70"/>
            </w:pPr>
            <w:hyperlink w:history="1" w:anchor="sec_dashboard">
              <w:r>
                <w:rPr>
                  <w:color w:val="1F3A5F"/>
                  <w:sz w:val="22"/>
                  <w:szCs w:val="22"/>
                </w:rPr>
                <w:t xml:space="preserve">Dashboard</w:t>
              </w:r>
            </w:hyperlink>
          </w:p>
          <w:p>
            <w:pPr>
              <w:spacing w:after="70"/>
            </w:pPr>
            <w:hyperlink w:history="1" w:anchor="sec_ejemplos">
              <w:r>
                <w:rPr>
                  <w:color w:val="1F3A5F"/>
                  <w:sz w:val="22"/>
                  <w:szCs w:val="22"/>
                </w:rPr>
                <w:t xml:space="preserve">Ejemplos</w:t>
              </w:r>
            </w:hyperlink>
          </w:p>
        </w:tc>
      </w:tr>
    </w:tbl>
    <w:p>
      <w:pPr>
        <w:spacing w:after="240"/>
      </w:pPr>
    </w:p>
    <w:p>
      <w:pPr>
        <w:spacing w:after="40" w:before="0"/>
      </w:pPr>
      <w:r>
        <w:rPr>
          <w:b/>
          <w:bCs/>
          <w:color w:val="0E7C7B"/>
          <w:spacing w:val="60"/>
          <w:sz w:val="20"/>
          <w:szCs w:val="20"/>
        </w:rPr>
        <w:t xml:space="preserve">PARTE 1</w:t>
      </w:r>
    </w:p>
    <w:p>
      <w:pPr>
        <w:pStyle w:val="Heading1"/>
        <w:keepNext/>
        <w:pBdr>
          <w:bottom w:val="single" w:color="0E7C7B" w:sz="12" w:space="6"/>
        </w:pBdr>
        <w:spacing w:after="200" w:before="120"/>
      </w:pPr>
      <w:bookmarkStart w:name="parte_1" w:id="1"/>
      <w:r>
        <w:t xml:space="preserve">Arquitectura de MiZona</w:t>
      </w:r>
      <w:bookmarkEnd w:id="1"/>
    </w:p>
    <w:p>
      <w:pPr>
        <w:pStyle w:val="Heading2"/>
        <w:keepNext/>
        <w:spacing w:after="120" w:before="320"/>
      </w:pPr>
      <w:bookmarkStart w:name="sec_componentes" w:id="1"/>
      <w:r>
        <w:t xml:space="preserve">Componentes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Frontend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Angular 22 y TypeScript. La aplicación está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frontend/src/app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; componentes y páginas se organizan por función.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app.routes.ts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define las rutas y carga páginas bajo demanda. Los guards protegen el panel y sus secciones administrativas. Los servicios de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services/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consumen la API.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Backend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Node.js, Express 5 y TypeScript.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backend/src/app.ts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configura seguridad HTTP, CORS, JSON, registro de solicitudes, salud y manejo de errores.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backend/src/index.ts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inicia el servidor.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Persistencia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MySQL 8.4 con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mysql2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.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backend/src/config/db.ts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crea el pool. El esquema y los datos iniciales están 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db/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 y Docker Compose los ejecuta al crear el volumen por primera vez.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Correo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Nodemailer. Sin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0B5F5E"/>
                <w:sz w:val="19"/>
                <w:szCs w:val="19"/>
                <w:shd w:fill="EEF3F3" w:color="auto" w:val="clear"/>
              </w:rPr>
              <w:t xml:space="preserve">SMTP_HOST</w:t>
            </w: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, se utiliza Ethereal para previsualizar mensajes; con SMTP configurado, el transporte envía correos mediante el proveedor indicado.</w:t>
            </w:r>
          </w:p>
        </w:tc>
      </w:tr>
    </w:tbl>
    <w:p>
      <w:pPr>
        <w:pStyle w:val="Heading2"/>
        <w:keepNext/>
        <w:spacing w:after="120" w:before="320"/>
      </w:pPr>
      <w:bookmarkStart w:name="sec_backend" w:id="1"/>
      <w:r>
        <w:t xml:space="preserve">Organización del backend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80"/>
      </w:tblGrid>
      <w:tr>
        <w:trPr>
          <w:tblHeader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Carpeta (backend/src/)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config/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Configuración de entorno y conexión MySQL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Traducción de solicitudes HTTP a operaciones de servicios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middlewares/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Autenticación, roles, límites, registro y errores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models/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Tipos de dominio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repositories/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Consultas y persistencia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routes/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Definición y protección de rutas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schemas/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Validación de entrada con Zod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services/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Reglas del negocio, correo y notificaciones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b/>
                <w:bCs/>
                <w:color w:val="0B5F5E"/>
                <w:sz w:val="19"/>
                <w:szCs w:val="19"/>
              </w:rPr>
              <w:t xml:space="preserve">utils/</w:t>
            </w:r>
          </w:p>
        </w:tc>
        <w:tc>
          <w:tcPr>
            <w:tcW w:type="dxa" w:w="7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EAF1F1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Errores, transacciones, paginación y utilidades</w:t>
            </w:r>
          </w:p>
        </w:tc>
      </w:tr>
    </w:tbl>
    <w:p>
      <w:pPr>
        <w:spacing w:after="160"/>
      </w:pPr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Las rutas se montan bajo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/api</w:t>
      </w:r>
      <w:r>
        <w:rPr>
          <w:b w:val="false"/>
          <w:bCs w:val="false"/>
          <w:color w:val="222222"/>
          <w:sz w:val="21"/>
          <w:szCs w:val="21"/>
        </w:rPr>
        <w:t xml:space="preserve">. En general, el flujo va de ruta a controlador, servicio y repositorio. Zod valida los datos recibidos y el middleware central normaliza los errores HTTP.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60"/>
        <w:gridCol w:w="2100"/>
        <w:gridCol w:w="560"/>
        <w:gridCol w:w="2100"/>
        <w:gridCol w:w="560"/>
        <w:gridCol w:w="2100"/>
      </w:tblGrid>
      <w:tr>
        <w:tc>
          <w:tcPr>
            <w:tcW w:type="dxa" w:w="21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7F4F3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5F5E"/>
                <w:sz w:val="21"/>
                <w:szCs w:val="21"/>
              </w:rPr>
              <w:t xml:space="preserve">Ruta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30"/>
                <w:szCs w:val="3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7F4F3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5F5E"/>
                <w:sz w:val="21"/>
                <w:szCs w:val="21"/>
              </w:rPr>
              <w:t xml:space="preserve">Controlador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30"/>
                <w:szCs w:val="3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7F4F3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5F5E"/>
                <w:sz w:val="21"/>
                <w:szCs w:val="21"/>
              </w:rPr>
              <w:t xml:space="preserve">Servicio</w:t>
            </w:r>
          </w:p>
        </w:tc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E7C7B"/>
                <w:sz w:val="30"/>
                <w:szCs w:val="30"/>
              </w:rPr>
              <w:t xml:space="preserve">→</w:t>
            </w:r>
          </w:p>
        </w:tc>
        <w:tc>
          <w:tcPr>
            <w:tcW w:type="dxa" w:w="2100"/>
            <w:tcBorders>
              <w:top w:val="single" w:color="0E7C7B" w:sz="8"/>
              <w:left w:val="single" w:color="0E7C7B" w:sz="8"/>
              <w:bottom w:val="single" w:color="0E7C7B" w:sz="8"/>
              <w:right w:val="single" w:color="0E7C7B" w:sz="8"/>
            </w:tcBorders>
            <w:shd w:fill="E7F4F3" w:color="auto" w:val="clear"/>
            <w:tcMar>
              <w:top w:type="dxa" w:w="130"/>
              <w:left w:type="dxa" w:w="80"/>
              <w:bottom w:type="dxa" w:w="130"/>
              <w:right w:type="dxa" w:w="8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0B5F5E"/>
                <w:sz w:val="21"/>
                <w:szCs w:val="21"/>
              </w:rPr>
              <w:t xml:space="preserve">Repositorio</w:t>
            </w:r>
          </w:p>
        </w:tc>
      </w:tr>
    </w:tbl>
    <w:p>
      <w:pPr>
        <w:pStyle w:val="Heading2"/>
        <w:keepNext/>
        <w:spacing w:after="120" w:before="320"/>
      </w:pPr>
      <w:bookmarkStart w:name="sec_roles" w:id="1"/>
      <w:r>
        <w:t xml:space="preserve">Roles y acceso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Público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Consultar avisos y catálogos, solicitar una suscripción y confirmar o cancelar una suscripción con su token.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FUNCIONARIO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Requiere activación de un administrador. Puede iniciar sesión, editar su perfil y crear, actualizar, cancelar o finalizar avisos.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0B5F5E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7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ADMIN</w:t>
            </w:r>
          </w:p>
        </w:tc>
        <w:tc>
          <w:tcPr>
            <w:tcW w:type="dxa" w:w="80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70"/>
            </w:pPr>
            <w:r>
              <w:rPr>
                <w:b w:val="false"/>
                <w:bCs w:val="false"/>
                <w:color w:val="222222"/>
                <w:sz w:val="21"/>
                <w:szCs w:val="21"/>
              </w:rPr>
              <w:t xml:space="preserve">Administra usuarios, zonas y categorías; además accede al resumen de indicadores y puede eliminar avisos.</w:t>
            </w:r>
          </w:p>
        </w:tc>
      </w:tr>
    </w:tbl>
    <w:p>
      <w:pPr>
        <w:spacing w:after="120"/>
      </w:pPr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La API utiliza tokens JWT. Las contraseñas se cifran con bcryptjs. Los límites de solicitudes se aplican a registro, inicio de sesión y solicitudes de suscripción.</w:t>
      </w:r>
    </w:p>
    <w:p>
      <w:pPr>
        <w:pStyle w:val="Heading2"/>
        <w:keepNext/>
        <w:spacing w:after="120" w:before="320"/>
      </w:pPr>
      <w:bookmarkStart w:name="sec_notificaciones" w:id="1"/>
      <w:r>
        <w:t xml:space="preserve">Flujo de notificaciones</w:t>
      </w:r>
      <w:bookmarkEnd w:id="1"/>
    </w:p>
    <w:p>
      <w:pPr>
        <w:pStyle w:val="ListParagraph"/>
        <w:keepNext/>
        <w:numPr>
          <w:ilvl w:val="0"/>
          <w:numId w:val="2"/>
        </w:numPr>
        <w:spacing w:after="110" w:line="280"/>
      </w:pPr>
      <w:r>
        <w:rPr>
          <w:b w:val="false"/>
          <w:bCs w:val="false"/>
          <w:color w:val="222222"/>
          <w:sz w:val="21"/>
          <w:szCs w:val="21"/>
        </w:rPr>
        <w:t xml:space="preserve">Una persona solicita recibir avisos para una zona.</w:t>
      </w:r>
    </w:p>
    <w:p>
      <w:pPr>
        <w:pStyle w:val="ListParagraph"/>
        <w:keepNext/>
        <w:numPr>
          <w:ilvl w:val="0"/>
          <w:numId w:val="2"/>
        </w:numPr>
        <w:spacing w:after="110" w:line="280"/>
      </w:pPr>
      <w:r>
        <w:rPr>
          <w:b w:val="false"/>
          <w:bCs w:val="false"/>
          <w:color w:val="222222"/>
          <w:sz w:val="21"/>
          <w:szCs w:val="21"/>
        </w:rPr>
        <w:t xml:space="preserve">La aplicación envía un enlace de confirmación. La suscripción no recibe avisos hasta confirmarse.</w:t>
      </w:r>
    </w:p>
    <w:p>
      <w:pPr>
        <w:pStyle w:val="ListParagraph"/>
        <w:keepNext/>
        <w:numPr>
          <w:ilvl w:val="0"/>
          <w:numId w:val="2"/>
        </w:numPr>
        <w:spacing w:after="110" w:line="280"/>
      </w:pPr>
      <w:r>
        <w:rPr>
          <w:b w:val="false"/>
          <w:bCs w:val="false"/>
          <w:color w:val="222222"/>
          <w:sz w:val="21"/>
          <w:szCs w:val="21"/>
        </w:rPr>
        <w:t xml:space="preserve">Al crear o actualizar un aviso, el servicio selecciona suscriptores confirmados de las zonas correspondientes y registra los envíos.</w:t>
      </w:r>
    </w:p>
    <w:p>
      <w:pPr>
        <w:pStyle w:val="ListParagraph"/>
        <w:keepNext w:val="false"/>
        <w:numPr>
          <w:ilvl w:val="0"/>
          <w:numId w:val="2"/>
        </w:numPr>
        <w:spacing w:after="110" w:line="280"/>
      </w:pPr>
      <w:r>
        <w:rPr>
          <w:b w:val="false"/>
          <w:bCs w:val="false"/>
          <w:color w:val="222222"/>
          <w:sz w:val="21"/>
          <w:szCs w:val="21"/>
        </w:rPr>
        <w:t xml:space="preserve">La persona puede usar el enlace de baja incluido en el correo.</w:t>
      </w:r>
    </w:p>
    <w:p>
      <w:pPr>
        <w:pBdr>
          <w:left w:val="single" w:color="0E7C7B" w:sz="30" w:space="10"/>
        </w:pBdr>
        <w:shd w:fill="E7F4F3" w:color="auto" w:val="clear"/>
        <w:spacing w:after="200" w:before="120" w:line="280"/>
        <w:ind w:left="220" w:right="120"/>
      </w:pPr>
      <w:r>
        <w:rPr>
          <w:b/>
          <w:bCs/>
          <w:color w:val="0B5F5E"/>
          <w:sz w:val="21"/>
          <w:szCs w:val="21"/>
        </w:rPr>
        <w:t xml:space="preserve">Nota</w:t>
      </w:r>
      <w:r>
        <w:br/>
        <w:t xml:space="preserve"/>
      </w:r>
      <w:r>
        <w:rPr>
          <w:b w:val="false"/>
          <w:bCs w:val="false"/>
          <w:color w:val="222222"/>
          <w:sz w:val="21"/>
          <w:szCs w:val="21"/>
        </w:rPr>
        <w:t xml:space="preserve">La vista previa de Ethereal permite inspeccionar el mensaje, pero no entrega correo a una bandeja real.</w:t>
      </w:r>
    </w:p>
    <w:p>
      <w:pPr>
        <w:pStyle w:val="Heading2"/>
        <w:keepNext/>
        <w:spacing w:after="120" w:before="320"/>
      </w:pPr>
      <w:bookmarkStart w:name="sec_bd" w:id="1"/>
      <w:r>
        <w:t xml:space="preserve">Base de datos</w:t>
      </w:r>
      <w:bookmarkEnd w:id="1"/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db/01_schema.sql</w:t>
      </w:r>
      <w:r>
        <w:rPr>
          <w:b w:val="false"/>
          <w:bCs w:val="false"/>
          <w:color w:val="222222"/>
          <w:sz w:val="21"/>
          <w:szCs w:val="21"/>
        </w:rPr>
        <w:t xml:space="preserve"> define el esquema y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db/02_seed.sql</w:t>
      </w:r>
      <w:r>
        <w:rPr>
          <w:b w:val="false"/>
          <w:bCs w:val="false"/>
          <w:color w:val="222222"/>
          <w:sz w:val="21"/>
          <w:szCs w:val="21"/>
        </w:rPr>
        <w:t xml:space="preserve"> carga datos iniciales;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db/03_reparar_categorias.sql</w:t>
      </w:r>
      <w:r>
        <w:rPr>
          <w:b w:val="false"/>
          <w:bCs w:val="false"/>
          <w:color w:val="222222"/>
          <w:sz w:val="21"/>
          <w:szCs w:val="21"/>
        </w:rPr>
        <w:t xml:space="preserve"> contiene una reparación del catálogo. El contenedor monta estos archivos como scripts de inicio.</w:t>
      </w:r>
    </w:p>
    <w:p>
      <w:pPr>
        <w:pBdr>
          <w:left w:val="single" w:color="C77700" w:sz="30" w:space="10"/>
        </w:pBdr>
        <w:shd w:fill="FFF3D6" w:color="auto" w:val="clear"/>
        <w:spacing w:after="200" w:before="120" w:line="280"/>
        <w:ind w:left="220" w:right="120"/>
      </w:pPr>
      <w:r>
        <w:rPr>
          <w:b/>
          <w:bCs/>
          <w:color w:val="7A4B00"/>
          <w:sz w:val="21"/>
          <w:szCs w:val="21"/>
        </w:rPr>
        <w:t xml:space="preserve">Importante</w:t>
      </w:r>
      <w:r>
        <w:br/>
        <w:t xml:space="preserve"/>
      </w:r>
      <w:r>
        <w:rPr>
          <w:b w:val="false"/>
          <w:bCs w:val="false"/>
          <w:color w:val="222222"/>
          <w:sz w:val="21"/>
          <w:szCs w:val="21"/>
        </w:rPr>
        <w:t xml:space="preserve">MySQL solo los ejecuta automáticamente cuando inicializa un directorio de datos vacío. Para reiniciar ese volumen y perder su contenido se requiere eliminarlo explícitamente con Docker.</w:t>
      </w:r>
    </w:p>
    <w:p>
      <w:pPr>
        <w:pStyle w:val="Heading2"/>
        <w:keepNext/>
        <w:spacing w:after="120" w:before="320"/>
      </w:pPr>
      <w:bookmarkStart w:name="sec_config" w:id="1"/>
      <w:r>
        <w:t xml:space="preserve">Configuración y despliegue</w:t>
      </w:r>
      <w:bookmarkEnd w:id="1"/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Consulta el README principal para requisitos, instalación, configuración de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.env</w:t>
      </w:r>
      <w:r>
        <w:rPr>
          <w:b w:val="false"/>
          <w:bCs w:val="false"/>
          <w:color w:val="222222"/>
          <w:sz w:val="21"/>
          <w:szCs w:val="21"/>
        </w:rPr>
        <w:t xml:space="preserve">, primer administrador y ejecución local.</w:t>
      </w:r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En despliegues, configura secretos propios, URLs públicas, origen CORS, SMTP y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TRUST_PROXY</w:t>
      </w:r>
      <w:r>
        <w:rPr>
          <w:b w:val="false"/>
          <w:bCs w:val="false"/>
          <w:color w:val="222222"/>
          <w:sz w:val="21"/>
          <w:szCs w:val="21"/>
        </w:rPr>
        <w:t xml:space="preserve"> solo si hay un proxy confiable.</w:t>
      </w:r>
    </w:p>
    <w:p>
      <w:pPr>
        <w:pBdr>
          <w:left w:val="single" w:color="C77700" w:sz="30" w:space="10"/>
        </w:pBdr>
        <w:shd w:fill="FFF3D6" w:color="auto" w:val="clear"/>
        <w:spacing w:after="200" w:before="120" w:line="280"/>
        <w:ind w:left="220" w:right="120"/>
      </w:pPr>
      <w:r>
        <w:rPr>
          <w:b/>
          <w:bCs/>
          <w:color w:val="7A4B00"/>
          <w:sz w:val="21"/>
          <w:szCs w:val="21"/>
        </w:rPr>
        <w:t xml:space="preserve">Seguridad</w:t>
      </w:r>
      <w:r>
        <w:br/>
        <w:t xml:space="preserve"/>
      </w:r>
      <w:r>
        <w:rPr>
          <w:b w:val="false"/>
          <w:bCs w:val="false"/>
          <w:color w:val="222222"/>
          <w:sz w:val="21"/>
          <w:szCs w:val="21"/>
        </w:rPr>
        <w:t xml:space="preserve">No reutilices credenciales de desarrollo.</w:t>
      </w:r>
    </w:p>
    <w:p>
      <w:pPr>
        <w:pStyle w:val="Heading2"/>
        <w:keepNext/>
        <w:spacing w:after="120" w:before="320"/>
      </w:pPr>
      <w:bookmarkStart w:name="sec_pruebas" w:id="1"/>
      <w:r>
        <w:t xml:space="preserve">Pruebas</w:t>
      </w:r>
      <w:bookmarkEnd w:id="1"/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Los comandos para pruebas unitarias, integración y compilación están en el README principal. La guía específica de integración está en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backend/tests/README.md</w:t>
      </w:r>
      <w:r>
        <w:rPr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ageBreakBefore/>
        <w:spacing w:after="40" w:before="0"/>
      </w:pPr>
      <w:r>
        <w:rPr>
          <w:b/>
          <w:bCs/>
          <w:color w:val="0E7C7B"/>
          <w:spacing w:val="60"/>
          <w:sz w:val="20"/>
          <w:szCs w:val="20"/>
        </w:rPr>
        <w:t xml:space="preserve">PARTE 2</w:t>
      </w:r>
    </w:p>
    <w:p>
      <w:pPr>
        <w:pStyle w:val="Heading1"/>
        <w:keepNext/>
        <w:pBdr>
          <w:bottom w:val="single" w:color="0E7C7B" w:sz="12" w:space="6"/>
        </w:pBdr>
        <w:spacing w:after="200" w:before="120"/>
      </w:pPr>
      <w:bookmarkStart w:name="parte_2" w:id="1"/>
      <w:r>
        <w:t xml:space="preserve">Referencia de API</w:t>
      </w:r>
      <w:bookmarkEnd w:id="1"/>
    </w:p>
    <w:p>
      <w:pPr>
        <w:pBdr>
          <w:left w:val="single" w:color="0E7C7B" w:sz="30" w:space="10"/>
        </w:pBdr>
        <w:shd w:fill="E7F4F3" w:color="auto" w:val="clear"/>
        <w:spacing w:after="200" w:before="120" w:line="280"/>
        <w:ind w:left="220" w:right="120"/>
      </w:pPr>
      <w:r>
        <w:rPr>
          <w:b/>
          <w:bCs/>
          <w:color w:val="0B5F5E"/>
          <w:sz w:val="21"/>
          <w:szCs w:val="21"/>
        </w:rPr>
        <w:t xml:space="preserve">Prefijo y autenticación</w:t>
      </w:r>
      <w:r>
        <w:br/>
        <w:t xml:space="preserve"/>
      </w:r>
      <w:r>
        <w:rPr>
          <w:b w:val="false"/>
          <w:bCs w:val="false"/>
          <w:color w:val="222222"/>
          <w:sz w:val="21"/>
          <w:szCs w:val="21"/>
        </w:rPr>
        <w:t xml:space="preserve">La API tiene como prefijo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/api</w:t>
      </w:r>
      <w:r>
        <w:rPr>
          <w:b w:val="false"/>
          <w:bCs w:val="false"/>
          <w:color w:val="222222"/>
          <w:sz w:val="21"/>
          <w:szCs w:val="21"/>
        </w:rPr>
        <w:t xml:space="preserve">. Salvo las rutas de salud y las operaciones marcadas como públicas, se requiere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Authorization: Bearer &lt;token&gt;</w:t>
      </w:r>
      <w:r>
        <w:rPr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after="120" w:before="320"/>
      </w:pPr>
      <w:bookmarkStart w:name="sec_convenciones" w:id="1"/>
      <w:r>
        <w:t xml:space="preserve">Convenciones</w:t>
      </w:r>
      <w:bookmarkEnd w:id="1"/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El contenido JSON se envía con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Content-Type: application/json</w:t>
      </w:r>
      <w:r>
        <w:rPr>
          <w:b w:val="false"/>
          <w:bCs w:val="false"/>
          <w:color w:val="222222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Los identificadores de recursos forman parte de la ruta.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Los listados de avisos admiten filtros y paginación; consulta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backend/src/controllers/aviso.controller.ts</w:t>
      </w:r>
      <w:r>
        <w:rPr>
          <w:b w:val="false"/>
          <w:bCs w:val="false"/>
          <w:color w:val="222222"/>
          <w:sz w:val="21"/>
          <w:szCs w:val="21"/>
        </w:rPr>
        <w:t xml:space="preserve"> y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backend/src/schemas/aviso.schema.ts</w:t>
      </w:r>
      <w:r>
        <w:rPr>
          <w:b w:val="false"/>
          <w:bCs w:val="false"/>
          <w:color w:val="222222"/>
          <w:sz w:val="21"/>
          <w:szCs w:val="21"/>
        </w:rPr>
        <w:t xml:space="preserve"> para los nombres y límites admitidos por la implementación.</w:t>
      </w:r>
    </w:p>
    <w:p>
      <w:pPr>
        <w:pStyle w:val="ListParagraph"/>
        <w:numPr>
          <w:ilvl w:val="0"/>
          <w:numId w:val="3"/>
        </w:numPr>
        <w:spacing w:after="90" w:line="280"/>
      </w:pPr>
      <w:r>
        <w:rPr>
          <w:b w:val="false"/>
          <w:bCs w:val="false"/>
          <w:color w:val="222222"/>
          <w:sz w:val="21"/>
          <w:szCs w:val="21"/>
        </w:rPr>
        <w:t xml:space="preserve">Los errores pasan por middleware central; los datos inválidos se rechazan mediante validación Zod.</w:t>
      </w:r>
    </w:p>
    <w:p>
      <w:pPr>
        <w:pStyle w:val="Heading2"/>
        <w:keepNext/>
        <w:spacing w:after="120" w:before="320"/>
      </w:pPr>
      <w:bookmarkStart w:name="sec_salud" w:id="1"/>
      <w:r>
        <w:t xml:space="preserve">Salud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/api/health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Verifica la API y ejecuta una consulta a MySQL.</w:t>
            </w:r>
          </w:p>
        </w:tc>
      </w:tr>
    </w:tbl>
    <w:p>
      <w:pPr>
        <w:spacing w:after="100"/>
      </w:pPr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Respuesta correcta:</w:t>
      </w:r>
    </w:p>
    <w:p>
      <w:pPr>
        <w:pBdr>
          <w:top w:val="single" w:color="D3DDDD" w:sz="4" w:space="6"/>
          <w:bottom w:val="single" w:color="D3DDDD" w:sz="4" w:space="6"/>
          <w:left w:val="single" w:color="0E7C7B" w:sz="24" w:space="8"/>
          <w:right w:val="single" w:color="D3DDDD" w:sz="4" w:space="8"/>
        </w:pBdr>
        <w:shd w:fill="F2F6F6" w:color="auto" w:val="clear"/>
        <w:spacing w:after="160" w:before="60" w:line="270"/>
        <w:ind w:left="160" w:right="160"/>
      </w:pPr>
      <w:r>
        <w:rPr>
          <w:rFonts w:ascii="Courier New" w:cs="Courier New" w:eastAsia="Courier New" w:hAnsi="Courier New"/>
          <w:color w:val="1B2B2B"/>
          <w:sz w:val="19"/>
          <w:szCs w:val="19"/>
        </w:rPr>
        <w:t xml:space="preserve">{"status":"ok","db":"conectada"}</w:t>
      </w:r>
    </w:p>
    <w:p>
      <w:pPr>
        <w:pStyle w:val="Heading2"/>
        <w:keepNext/>
        <w:spacing w:after="120" w:before="320"/>
      </w:pPr>
      <w:bookmarkStart w:name="sec_auth" w:id="1"/>
      <w:r>
        <w:t xml:space="preserve">Autenticación y perfil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/api/auth/register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Público, limitado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Registra un funcionario pendiente de activación.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/api/auth/login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Público, limitado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Inicia sesión y devuelve credenciales de acceso.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/api/auth/me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Devuelve la identidad asociada al token.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/api/usuarios/me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el perfil propio.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CEFD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7A4B00"/>
                <w:sz w:val="17"/>
                <w:szCs w:val="17"/>
              </w:rPr>
              <w:t xml:space="preserve">PUT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/api/usuarios/me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Autenticado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 el perfil propio.</w:t>
            </w:r>
          </w:p>
        </w:tc>
      </w:tr>
    </w:tbl>
    <w:p>
      <w:pPr>
        <w:pStyle w:val="Heading2"/>
        <w:keepNext/>
        <w:spacing w:after="120" w:before="320"/>
      </w:pPr>
      <w:bookmarkStart w:name="sec_usuarios" w:id="1"/>
      <w:r>
        <w:t xml:space="preserve">Usuarios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/api/usuarios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usuarios.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CEFD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7A4B00"/>
                <w:sz w:val="17"/>
                <w:szCs w:val="17"/>
              </w:rPr>
              <w:t xml:space="preserve">PATCH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/api/usuarios/:id/activo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Cambia la activación del usuario.</w:t>
            </w:r>
          </w:p>
        </w:tc>
      </w:tr>
    </w:tbl>
    <w:p>
      <w:pPr>
        <w:pStyle w:val="Heading2"/>
        <w:keepNext/>
        <w:spacing w:after="120" w:before="320"/>
      </w:pPr>
      <w:bookmarkStart w:name="sec_catalogos" w:id="1"/>
      <w:r>
        <w:t xml:space="preserve">Catálogos</w:t>
      </w:r>
      <w:bookmarkEnd w:id="1"/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Las zonas y categorías tienen las mismas operaciones. Su lectura es pública y su modificación requiere ADMIN.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/api/zonas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zonas.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/api/zonas/:id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una zona.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/api/zonas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 una zona.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CEFD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7A4B00"/>
                <w:sz w:val="17"/>
                <w:szCs w:val="17"/>
              </w:rPr>
              <w:t xml:space="preserve">PUT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/api/zonas/:id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 una zona.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9DAD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8A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/api/zonas/:id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Elimina una zona.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/api/categorias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categorías.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/api/categorias/:id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una categoría.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/api/categorias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 una categoría.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CEFD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7A4B00"/>
                <w:sz w:val="17"/>
                <w:szCs w:val="17"/>
              </w:rPr>
              <w:t xml:space="preserve">PUT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/api/categorias/:id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 una categoría.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9DAD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8A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/api/categorias/:id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Elimina una categoría.</w:t>
            </w:r>
          </w:p>
        </w:tc>
      </w:tr>
    </w:tbl>
    <w:p>
      <w:pPr>
        <w:pStyle w:val="Heading2"/>
        <w:keepNext/>
        <w:spacing w:after="120" w:before="320"/>
      </w:pPr>
      <w:bookmarkStart w:name="sec_avisos" w:id="1"/>
      <w:r>
        <w:t xml:space="preserve">Avisos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Lista avisos; admite filtros y paginación.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Consulta un aviso.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FUNCIONARIO, 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Crea un aviso y activa el flujo de notificaciones.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CEFD0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7A4B00"/>
                <w:sz w:val="17"/>
                <w:szCs w:val="17"/>
              </w:rPr>
              <w:t xml:space="preserve">PUT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FUNCIONARIO, 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Actualiza un aviso.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/api/avisos/:id/cancelar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FUNCIONARIO, 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Cancela un aviso.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/api/avisos/:id/finalizar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FUNCIONARIO, 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Finaliza manualmente un aviso.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9DAD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8A1C1C"/>
                <w:sz w:val="17"/>
                <w:szCs w:val="17"/>
              </w:rPr>
              <w:t xml:space="preserve">DELETE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/api/avisos/:id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Elimina un aviso.</w:t>
            </w:r>
          </w:p>
        </w:tc>
      </w:tr>
    </w:tbl>
    <w:p>
      <w:pPr>
        <w:pStyle w:val="Heading2"/>
        <w:keepNext/>
        <w:spacing w:after="120" w:before="320"/>
      </w:pPr>
      <w:bookmarkStart w:name="sec_suscripciones" w:id="1"/>
      <w:r>
        <w:t xml:space="preserve">Suscripciones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CE8F7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1F3A5F"/>
                <w:sz w:val="17"/>
                <w:szCs w:val="17"/>
              </w:rPr>
              <w:t xml:space="preserve">POST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/api/suscripciones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Público, limitado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Solicita una suscripción a una zona; se confirma por correo.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/api/suscripciones/confirmar/:token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 con token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FFFF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Confirma la suscripción.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/api/suscripciones/baja/:token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0B5F5E"/>
                <w:sz w:val="19"/>
                <w:szCs w:val="19"/>
              </w:rPr>
              <w:t xml:space="preserve">Público con token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 de baja la suscripción.</w:t>
            </w:r>
          </w:p>
        </w:tc>
      </w:tr>
    </w:tbl>
    <w:p>
      <w:pPr>
        <w:pStyle w:val="Heading2"/>
        <w:keepNext/>
        <w:spacing w:after="120" w:before="320"/>
      </w:pPr>
      <w:bookmarkStart w:name="sec_dashboard" w:id="1"/>
      <w:r>
        <w:t xml:space="preserve">Dashboard</w:t>
      </w:r>
      <w:bookmarkEnd w:id="1"/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700"/>
        <w:gridCol w:w="1600"/>
        <w:gridCol w:w="3780"/>
      </w:tblGrid>
      <w:tr>
        <w:trPr>
          <w:tblHeader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Ruta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Acceso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1F3A5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/>
              <w:spacing w:after="0" w:line="27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DDF1EF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  <w:jc w:val="center"/>
            </w:pPr>
            <w:r>
              <w:rPr>
                <w:b/>
                <w:bCs/>
                <w:color w:val="0B5F5E"/>
                <w:sz w:val="17"/>
                <w:szCs w:val="17"/>
              </w:rPr>
              <w:t xml:space="preserve">GET</w:t>
            </w:r>
          </w:p>
        </w:tc>
        <w:tc>
          <w:tcPr>
            <w:tcW w:type="dxa" w:w="37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rFonts w:ascii="Courier New" w:cs="Courier New" w:eastAsia="Courier New" w:hAnsi="Courier New"/>
                <w:color w:val="1B2B2B"/>
                <w:sz w:val="16"/>
                <w:szCs w:val="16"/>
              </w:rPr>
              <w:t xml:space="preserve">/api/dashboard</w:t>
            </w:r>
          </w:p>
        </w:tc>
        <w:tc>
          <w:tcPr>
            <w:tcW w:type="dxa" w:w="160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/>
                <w:bCs/>
                <w:color w:val="222222"/>
                <w:sz w:val="19"/>
                <w:szCs w:val="19"/>
              </w:rPr>
              <w:t xml:space="preserve">ADMIN</w:t>
            </w:r>
          </w:p>
        </w:tc>
        <w:tc>
          <w:tcPr>
            <w:tcW w:type="dxa" w:w="3780"/>
            <w:tcBorders>
              <w:top w:val="single" w:color="D3DDDD" w:sz="4"/>
              <w:left w:val="single" w:color="D3DDDD" w:sz="4"/>
              <w:bottom w:val="single" w:color="D3DDDD" w:sz="4"/>
              <w:right w:val="single" w:color="D3DDDD" w:sz="4"/>
            </w:tcBorders>
            <w:shd w:fill="F7FAFA" w:color="auto" w:val="clear"/>
            <w:tcMar>
              <w:top w:type="dxa" w:w="60"/>
              <w:left w:type="dxa" w:w="130"/>
              <w:bottom w:type="dxa" w:w="60"/>
              <w:right w:type="dxa" w:w="130"/>
            </w:tcMar>
            <w:vAlign w:val="center"/>
          </w:tcPr>
          <w:p>
            <w:pPr>
              <w:keepNext w:val="false"/>
              <w:spacing w:after="0" w:line="270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Obtiene indicadores del panel.</w:t>
            </w:r>
          </w:p>
        </w:tc>
      </w:tr>
    </w:tbl>
    <w:p>
      <w:pPr>
        <w:pStyle w:val="Heading2"/>
        <w:keepNext/>
        <w:spacing w:after="120" w:before="320"/>
      </w:pPr>
      <w:bookmarkStart w:name="sec_ejemplos" w:id="1"/>
      <w:r>
        <w:t xml:space="preserve">Ejemplos</w:t>
      </w:r>
      <w:bookmarkEnd w:id="1"/>
    </w:p>
    <w:p>
      <w:pPr>
        <w:pBdr>
          <w:top w:val="single" w:color="D3DDDD" w:sz="4" w:space="6"/>
          <w:bottom w:val="single" w:color="D3DDDD" w:sz="4" w:space="6"/>
          <w:left w:val="single" w:color="0E7C7B" w:sz="24" w:space="8"/>
          <w:right w:val="single" w:color="D3DDDD" w:sz="4" w:space="8"/>
        </w:pBdr>
        <w:shd w:fill="F2F6F6" w:color="auto" w:val="clear"/>
        <w:spacing w:after="160" w:before="60" w:line="270"/>
        <w:ind w:left="160" w:right="160"/>
      </w:pPr>
      <w:r>
        <w:rPr>
          <w:rFonts w:ascii="Courier New" w:cs="Courier New" w:eastAsia="Courier New" w:hAnsi="Courier New"/>
          <w:color w:val="1B2B2B"/>
          <w:sz w:val="19"/>
          <w:szCs w:val="19"/>
        </w:rPr>
        <w:t xml:space="preserve">GET http://localhost:3000/api/health</w:t>
      </w:r>
    </w:p>
    <w:p>
      <w:pPr>
        <w:pBdr>
          <w:top w:val="single" w:color="D3DDDD" w:sz="4" w:space="6"/>
          <w:bottom w:val="single" w:color="D3DDDD" w:sz="4" w:space="6"/>
          <w:left w:val="single" w:color="0E7C7B" w:sz="24" w:space="8"/>
          <w:right w:val="single" w:color="D3DDDD" w:sz="4" w:space="8"/>
        </w:pBdr>
        <w:shd w:fill="F2F6F6" w:color="auto" w:val="clear"/>
        <w:spacing w:after="160" w:before="60" w:line="270"/>
        <w:ind w:left="160" w:right="160"/>
      </w:pPr>
      <w:r>
        <w:rPr>
          <w:rFonts w:ascii="Courier New" w:cs="Courier New" w:eastAsia="Courier New" w:hAnsi="Courier New"/>
          <w:color w:val="1B2B2B"/>
          <w:sz w:val="19"/>
          <w:szCs w:val="19"/>
        </w:rPr>
        <w:t xml:space="preserve">GET http://localhost:3000/api/avisos?page=1</w:t>
      </w:r>
    </w:p>
    <w:p>
      <w:pPr>
        <w:pBdr>
          <w:top w:val="single" w:color="D3DDDD" w:sz="4" w:space="6"/>
          <w:bottom w:val="single" w:color="D3DDDD" w:sz="4" w:space="6"/>
          <w:left w:val="single" w:color="0E7C7B" w:sz="24" w:space="8"/>
          <w:right w:val="single" w:color="D3DDDD" w:sz="4" w:space="8"/>
        </w:pBdr>
        <w:shd w:fill="F2F6F6" w:color="auto" w:val="clear"/>
        <w:spacing w:after="160" w:before="60" w:line="270"/>
        <w:ind w:left="160" w:right="160"/>
      </w:pPr>
      <w:r>
        <w:rPr>
          <w:rFonts w:ascii="Courier New" w:cs="Courier New" w:eastAsia="Courier New" w:hAnsi="Courier New"/>
          <w:color w:val="1B2B2B"/>
          <w:sz w:val="19"/>
          <w:szCs w:val="19"/>
        </w:rPr>
        <w:t xml:space="preserve">GET http://localhost:3000/api/auth/me</w:t>
      </w:r>
      <w:r>
        <w:br/>
        <w:t xml:space="preserve"/>
      </w:r>
      <w:r>
        <w:rPr>
          <w:rFonts w:ascii="Courier New" w:cs="Courier New" w:eastAsia="Courier New" w:hAnsi="Courier New"/>
          <w:color w:val="1B2B2B"/>
          <w:sz w:val="19"/>
          <w:szCs w:val="19"/>
        </w:rPr>
        <w:t xml:space="preserve">Authorization: Bearer &lt;token&gt;</w:t>
      </w:r>
    </w:p>
    <w:p>
      <w:pPr>
        <w:spacing w:after="140" w:line="290"/>
      </w:pPr>
      <w:r>
        <w:rPr>
          <w:b w:val="false"/>
          <w:bCs w:val="false"/>
          <w:color w:val="222222"/>
          <w:sz w:val="21"/>
          <w:szCs w:val="21"/>
        </w:rPr>
        <w:t xml:space="preserve">El archivo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backend/api.http</w:t>
      </w:r>
      <w:r>
        <w:rPr>
          <w:b w:val="false"/>
          <w:bCs w:val="false"/>
          <w:color w:val="222222"/>
          <w:sz w:val="21"/>
          <w:szCs w:val="21"/>
        </w:rPr>
        <w:t xml:space="preserve"> contiene solicitudes de ejemplo adicionales. Para conocer las validaciones y campos exactos de cada operación, consulta los schemas en </w:t>
      </w:r>
      <w:r>
        <w:rPr>
          <w:rFonts w:ascii="Courier New" w:cs="Courier New" w:eastAsia="Courier New" w:hAnsi="Courier New"/>
          <w:b w:val="false"/>
          <w:bCs w:val="false"/>
          <w:color w:val="0B5F5E"/>
          <w:sz w:val="19"/>
          <w:szCs w:val="19"/>
          <w:shd w:fill="EEF3F3" w:color="auto" w:val="clear"/>
        </w:rPr>
        <w:t xml:space="preserve">backend/src/schemas/</w:t>
      </w:r>
      <w:r>
        <w:rPr>
          <w:b w:val="false"/>
          <w:bCs w:val="false"/>
          <w:color w:val="222222"/>
          <w:sz w:val="21"/>
          <w:szCs w:val="21"/>
        </w:rPr>
        <w:t xml:space="preserve"> y los controladores correspondientes.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080" w:bottom="1200" w:left="108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DDD" w:sz="4" w:space="6"/>
      </w:pBdr>
      <w:tabs>
        <w:tab w:val="right" w:pos="10080"/>
      </w:tabs>
      <w:spacing w:after="0"/>
    </w:pPr>
    <w:r>
      <w:rPr>
        <w:b/>
        <w:bCs/>
        <w:color w:val="0B5F5E"/>
        <w:sz w:val="17"/>
        <w:szCs w:val="17"/>
      </w:rPr>
      <w:t xml:space="preserve">MiZona</w:t>
    </w:r>
    <w:r>
      <w:rPr>
        <w:color w:val="555555"/>
        <w:sz w:val="17"/>
        <w:szCs w:val="17"/>
      </w:rPr>
      <w:tab/>
      <w:t xml:space="preserve">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de </w:t>
    </w:r>
    <w:r>
      <w:rPr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DDD" w:sz="4" w:space="6"/>
      </w:pBdr>
      <w:spacing w:after="0"/>
      <w:jc w:val="right"/>
    </w:pPr>
    <w:r>
      <w:rPr>
        <w:color w:val="555555"/>
        <w:sz w:val="17"/>
        <w:szCs w:val="17"/>
      </w:rPr>
      <w:t xml:space="preserve">MiZona  ·  Documentación del proyecto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  <w:rPr>
        <w:b/>
        <w:bCs/>
        <w:color w:val="0E7C7B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40"/>
      </w:pPr>
      <w:rPr>
        <w:b/>
        <w:bCs/>
        <w:color w:val="0E7C7B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F3A5F"/>
      <w:sz w:val="52"/>
      <w:szCs w:val="5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0B5F5E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MiZona — Documentación del proyecto</dc:title>
  <dc:creator>MiZona</dc:creator>
  <cp:lastModifiedBy>Un-named</cp:lastModifiedBy>
  <cp:revision>1</cp:revision>
  <dcterms:created xsi:type="dcterms:W3CDTF">2026-10-09T19:14:47.923Z</dcterms:created>
  <dcterms:modified xsi:type="dcterms:W3CDTF">2026-10-09T19:14:47.923Z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