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OnOff业务用户访谈洞察报告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b w:val="true"/>
          <w:sz w:val="22"/>
        </w:rPr>
        <w:t>USER RESEARCH  ·  OPERATING MODEL DIAGNOSTIC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b w:val="true"/>
          <w:sz w:val="22"/>
        </w:rPr>
        <w:t>On/Off 业务用户访谈洞察报告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color w:val="8f959e"/>
          <w:sz w:val="22"/>
        </w:rPr>
        <w:t>核心流程、时间结构、交接物、用户旅程、信息使用与结构性痛点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核心判断  </w:t>
            </w:r>
            <w:r>
              <w:rPr>
                <w:rFonts w:eastAsia="等线" w:ascii="Arial" w:cs="Arial" w:hAnsi="Arial"/>
                <w:sz w:val="22"/>
              </w:rPr>
              <w:t>On/Off 团队的主要约束不是编码速度，而是遗留系统知识重建、跨层级职责下沉和增量测试闭环不完整。需求分析与开发都存在 2 天至 1 个月的高波动，但当前缺少可解释的工作量证据链。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25"/>
        <w:gridCol w:w="6255"/>
      </w:tblGrid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研究对象</w:t>
            </w:r>
          </w:p>
        </w:tc>
        <w:tc>
          <w:tcPr>
            <w:tcW w:w="6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On/Off Domain 的 PO / 架构 / 开发复合角色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业务范围</w:t>
            </w:r>
          </w:p>
        </w:tc>
        <w:tc>
          <w:tcPr>
            <w:tcW w:w="6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 需求承接、影响分析、Spike、拆卡、开发、自测、Domain Test 与系统测试衔接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访谈时间</w:t>
            </w:r>
          </w:p>
        </w:tc>
        <w:tc>
          <w:tcPr>
            <w:tcW w:w="6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 年 8 月 6 日；有效讨论约 60 分钟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证据基础</w:t>
            </w:r>
          </w:p>
        </w:tc>
        <w:tc>
          <w:tcPr>
            <w:tcW w:w="6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单一受访者深访；包含经验估算与现场展示信息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报告日期</w:t>
            </w:r>
          </w:p>
        </w:tc>
        <w:tc>
          <w:tcPr>
            <w:tcW w:w="6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 年 8 月 7 日</w:t>
            </w:r>
          </w:p>
        </w:tc>
      </w:tr>
    </w:tbl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i w:val="true"/>
          <w:color w:val="8f959e"/>
          <w:sz w:val="22"/>
        </w:rPr>
        <w:t>分析口径：明确区分“受访者陈述”“访谈现场推演”“咨询推断”和“待验证项”。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1. 管理层摘要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一句话结论  </w:t>
            </w:r>
            <w:r>
              <w:rPr>
                <w:rFonts w:eastAsia="等线" w:ascii="Arial" w:cs="Arial" w:hAnsi="Arial"/>
                <w:sz w:val="22"/>
              </w:rPr>
              <w:t>On/Off 的端到端交付由“需求理解—遗留系统盘点—方案共创—拆卡—开发—自测—版本验证”构成；真正的重成本集中在开发前的知识重建与方案收敛，而质量风险集中在增量需求缺少独立、及时的集成验收。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六项核心发现</w:t>
      </w:r>
      <w:bookmarkEnd w:id="1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01  流程不是线性的</w:t>
      </w:r>
      <w:r>
        <w:rPr>
          <w:rFonts w:eastAsia="等线" w:ascii="Arial" w:cs="Arial" w:hAnsi="Arial"/>
          <w:sz w:val="22"/>
        </w:rPr>
        <w:t xml:space="preserve">  开发在正式拆卡前即通过 Spike 介入方案；PO 同时承担架构和部分开发职责，角色随问题切换。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0</w:t>
      </w:r>
      <w:r>
        <w:rPr>
          <w:rFonts w:eastAsia="等线" w:ascii="Arial" w:cs="Arial" w:hAnsi="Arial"/>
          <w:b w:val="true"/>
          <w:sz w:val="22"/>
        </w:rPr>
        <w:t>2</w:t>
      </w:r>
      <w:r>
        <w:rPr>
          <w:rFonts w:eastAsia="等线" w:ascii="Arial" w:cs="Arial" w:hAnsi="Arial"/>
          <w:b w:val="true"/>
          <w:sz w:val="22"/>
        </w:rPr>
        <w:t xml:space="preserve"> 典型开发为 2–3 周</w:t>
      </w:r>
      <w:r>
        <w:rPr>
          <w:rFonts w:eastAsia="等线" w:ascii="Arial" w:cs="Arial" w:hAnsi="Arial"/>
          <w:sz w:val="22"/>
        </w:rPr>
        <w:t xml:space="preserve">  编码/适配可短至 1–2 天，也可长至约 1 个月；典型值是 1–1.5 个双周 Sprint，约 2–3 周。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0</w:t>
      </w:r>
      <w:r>
        <w:rPr>
          <w:rFonts w:eastAsia="等线" w:ascii="Arial" w:cs="Arial" w:hAnsi="Arial"/>
          <w:b w:val="true"/>
          <w:sz w:val="22"/>
        </w:rPr>
        <w:t>3</w:t>
      </w:r>
      <w:r>
        <w:rPr>
          <w:rFonts w:eastAsia="等线" w:ascii="Arial" w:cs="Arial" w:hAnsi="Arial"/>
          <w:b w:val="true"/>
          <w:sz w:val="22"/>
        </w:rPr>
        <w:t xml:space="preserve">  知识重建是主要成本</w:t>
      </w:r>
      <w:r>
        <w:rPr>
          <w:rFonts w:eastAsia="等线" w:ascii="Arial" w:cs="Arial" w:hAnsi="Arial"/>
          <w:sz w:val="22"/>
        </w:rPr>
        <w:t xml:space="preserve">  项目早期，对十几个仓库和既有逻辑的盘点可占约 50%；人员不与 Domain 固定绑定，使熟悉度难以持续累积。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0</w:t>
      </w:r>
      <w:r>
        <w:rPr>
          <w:rFonts w:eastAsia="等线" w:ascii="Arial" w:cs="Arial" w:hAnsi="Arial"/>
          <w:b w:val="true"/>
          <w:sz w:val="22"/>
        </w:rPr>
        <w:t>4</w:t>
      </w:r>
      <w:r>
        <w:rPr>
          <w:rFonts w:eastAsia="等线" w:ascii="Arial" w:cs="Arial" w:hAnsi="Arial"/>
          <w:b w:val="true"/>
          <w:sz w:val="22"/>
        </w:rPr>
        <w:t xml:space="preserve">  职责与依赖设计下沉</w:t>
      </w:r>
      <w:r>
        <w:rPr>
          <w:rFonts w:eastAsia="等线" w:ascii="Arial" w:cs="Arial" w:hAnsi="Arial"/>
          <w:sz w:val="22"/>
        </w:rPr>
        <w:t xml:space="preserve">  FO 层的需求常只有一句话，系统间集成关系和技术依赖需要 PO↔PO 再次拉齐，未完成的工作继续下沉至架构/开发。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0</w:t>
      </w:r>
      <w:r>
        <w:rPr>
          <w:rFonts w:eastAsia="等线" w:ascii="Arial" w:cs="Arial" w:hAnsi="Arial"/>
          <w:b w:val="true"/>
          <w:sz w:val="22"/>
        </w:rPr>
        <w:t>5</w:t>
      </w:r>
      <w:r>
        <w:rPr>
          <w:rFonts w:eastAsia="等线" w:ascii="Arial" w:cs="Arial" w:hAnsi="Arial"/>
          <w:b w:val="true"/>
          <w:sz w:val="22"/>
        </w:rPr>
        <w:t xml:space="preserve">  增量测试存在断层</w:t>
      </w:r>
      <w:r>
        <w:rPr>
          <w:rFonts w:eastAsia="等线" w:ascii="Arial" w:cs="Arial" w:hAnsi="Arial"/>
          <w:sz w:val="22"/>
        </w:rPr>
        <w:t xml:space="preserve">  开发自测承担增量功能的主要质量保证；Domain/System Test 更偏版本稳定性与回归，新增用例可能滞后一至两个 Sprint。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优先级判断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95"/>
        <w:gridCol w:w="2175"/>
        <w:gridCol w:w="5310"/>
      </w:tblGrid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优先级</w:t>
            </w:r>
          </w:p>
        </w:tc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议题</w:t>
            </w:r>
          </w:p>
        </w:tc>
        <w:tc>
          <w:tcPr>
            <w:tcW w:w="5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管理判断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增量质量闭环</w:t>
            </w:r>
          </w:p>
        </w:tc>
        <w:tc>
          <w:tcPr>
            <w:tcW w:w="5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明确开发自测、Domain Test、集成测试和 System Test 的对象与时点；建立当 Sprint 的增量验收。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  <w:u w:val="single"/>
              </w:rPr>
              <w:t>工作量可解释性</w:t>
            </w:r>
          </w:p>
        </w:tc>
        <w:tc>
          <w:tcPr>
            <w:tcW w:w="5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  <w:u w:val="single"/>
              </w:rPr>
              <w:t>把 Spike、依赖澄清、仓库盘点、开发、联调和测试分别计量，解决“2 天到 1 个月”无法解释的问题。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遗留知识与人员绑定</w:t>
            </w:r>
          </w:p>
        </w:tc>
        <w:tc>
          <w:tcPr>
            <w:tcW w:w="5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形成仓库/模块知识地图、熟悉度矩阵和交接机制；减少人员切换导致的重复冷启动。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需求与依赖治理</w:t>
            </w:r>
          </w:p>
        </w:tc>
        <w:tc>
          <w:tcPr>
            <w:tcW w:w="5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 FO 层应完成的系统依赖、接口契约和验收口径显式化，避免工作无边界下沉。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2. 业务范围、角色与协作边界</w:t>
      </w:r>
      <w:bookmarkEnd w:id="3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On/Off 是车载软件中的一个系统级 Domain，与诊断、OTA 等其他系统处于平级关系，但存在依赖和交互。在 Middleware 组织中，同一团队覆盖约 12 个大 Domain；On/Off 自身又涉及 QNX、VCPU、Android 等多个技术域和十几个代码仓库。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访谈所呈现的角色模型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55"/>
        <w:gridCol w:w="2205"/>
        <w:gridCol w:w="3015"/>
        <w:gridCol w:w="1920"/>
      </w:tblGrid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角色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名义职责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现实中的扩展职责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主要协作对象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车级 PM / 子 PM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按车型上市节点倒排季度/PI 目标与里程碑。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在资源和依赖冲突时进行升级协调。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FO、各 Domain PM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承接系统需求，协调平级系统依赖，向下传递需求。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成熟度不一；部分需求只有一句话，集成方案未完全定义。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其他 FO、PO、上级 PM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理解 FO 需求、分解任务、安排 Sprint。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兼架构、需求分析、问题初判和部分开发；跨 PO 拉齐技术依赖。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FO、其他 PO、架构、Dev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架构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评估技术可实现性、定义软件架构与接口方案。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 PO 高度重合；开发通过 Spike 深度参与。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PO、各技术域 Dev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Dev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增量开发、适配、联调与开发自测。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提前参与方案、盘点遗留逻辑；缺陷进入时协助 PO 快速判断。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PO/架构、其他 Dev、测试</w:t>
            </w:r>
          </w:p>
        </w:tc>
      </w:tr>
      <w:tr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Domain Test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 Domain 级版本稳定性验证。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单个迭代约 2–3 天；并非完整的当期增量集成验收。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Dev、集成/System Test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组织特征  </w:t>
            </w:r>
            <w:r>
              <w:rPr>
                <w:rFonts w:eastAsia="等线" w:ascii="Arial" w:cs="Arial" w:hAnsi="Arial"/>
                <w:sz w:val="22"/>
              </w:rPr>
              <w:t>角色并非严格分工，而是围绕问题动态切换。灵活性提高了兜底能力，也削弱了职责边界、成本归属和交付可解释性。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3. 核心工作流程（Current State）</w:t>
      </w:r>
      <w:bookmarkEnd w:id="5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流程从 FO 系统需求开始，在 PO/架构层完成影响分析和方案收敛，并通过 Spike 让开发提前介入。开发完成后，质量验证分为开发自测、Domain Test 与后续集成/System Test，但三者的验证对象并不相同。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i w:val="true"/>
          <w:color w:val="8f959e"/>
          <w:sz w:val="22"/>
        </w:rPr>
        <w:t>图 1｜On/Off 业务端到端工作流（基于访谈重建）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流程拆解与主要交接物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05"/>
        <w:gridCol w:w="1365"/>
        <w:gridCol w:w="3660"/>
        <w:gridCol w:w="2235"/>
      </w:tblGrid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环节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主责/参与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关键动作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主要交接物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系统需求输入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 / PM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承接系统级需求，提出跨系统依赖；按季度/PI 里程碑倒排。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系统需求、依赖票、里程碑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 影响分析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 + 架构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理解需求；拉 QNX、VCPU、Android 等 Domain；盘点十几个仓库与遗留实现。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疑问清单、影响范围、初步架构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 Spike / 方案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PO/架构 + Dev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验证技术路线、实时性、资源、接口、分辨率/车型差异等；开发提前验证可落地性。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Spike 卡、技术方案、验证结论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 拆卡与排期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 Sprint 初期完成细化，安排后续 2–3 个 Sprint；更远工作做粗排并暴露依赖风险。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Sprint 卡、工作量、依赖/风险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 增量开发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Dev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代码梳理、修改/新增、适配多个仓库与车型；必要时跨团队联调。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代码、配置、联调结果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 开发自测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Dev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验证当期增量功能，检查日志和接口行为；是增量需求质量的主要即时保障。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自测结果、日志、问题记录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7. Domain Test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专职测试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 Domain 版本稳定性与既有用例进行验证，访谈估计每迭代约 2–3 天。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测试结果、缺陷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8. 集成/System Test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集成/系统测试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以版本稳定性和回归为主；新用例可能在后续 1–2 个 Sprint 才进入测试集。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回归结果、缺陷、验收反馈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9. 缺陷闭环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测试→PO→Dev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追踪跨版本/跨供应商问题；定位后修复、重新集成并回归。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Bug 单、修复卡、版本记录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关键决策点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60"/>
        <w:gridCol w:w="3135"/>
        <w:gridCol w:w="3285"/>
      </w:tblGrid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决策点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若为“简单”</w:t>
            </w: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若为“复杂”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既有架构能否直接承载？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复用现有逻辑，可能只改数行代码，1–2 天交付。</w:t>
            </w: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进入多仓库盘点和架构调整，前期分析可达 1 个月。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是否涉及跨 Domain / 跨系统？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由 On/Off 内部完成拆分与开发。</w:t>
            </w: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 FO↔FO、PO↔PO 双层依赖拉齐，并建立依赖票。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开发是否熟悉相关仓库？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知识已建立，Spike 和定位成本下降。</w:t>
            </w: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重新冷启动，既有逻辑盘点可能占早期工作约 50%。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当期增量是否进入测试集？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在后续回归中被持续验证。</w:t>
            </w: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短期主要靠开发自测，集成风险可能延迟暴露。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4. 时间占比与周期结构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e7802"/>
                <w:sz w:val="22"/>
              </w:rPr>
              <w:t xml:space="preserve">量化口径  </w:t>
            </w:r>
            <w:r>
              <w:rPr>
                <w:rFonts w:eastAsia="等线" w:ascii="Arial" w:cs="Arial" w:hAnsi="Arial"/>
                <w:sz w:val="22"/>
              </w:rPr>
              <w:t>访谈提供了阶段周期和若干比例锚点，但没有完整工时台账。以下将“明确陈述”与“现场推演”分开，不能直接用于绩效或预算。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受访者明确给出的周期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05"/>
        <w:gridCol w:w="1770"/>
        <w:gridCol w:w="4305"/>
      </w:tblGrid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阶段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典型/范围</w:t>
            </w:r>
          </w:p>
        </w:tc>
        <w:tc>
          <w:tcPr>
            <w:tcW w:w="4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解释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需求到架构/实现方案确定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通常 1–3 周；范围 1–4 周</w:t>
            </w:r>
          </w:p>
        </w:tc>
        <w:tc>
          <w:tcPr>
            <w:tcW w:w="4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复杂度来自遗留系统、多仓库、跨 Domain 依赖和技术可行性。</w:t>
            </w:r>
            <w:r>
              <w:rPr>
                <w:rFonts w:eastAsia="等线" w:ascii="Arial" w:cs="Arial" w:hAnsi="Arial"/>
                <w:strike w:val="true"/>
                <w:sz w:val="22"/>
              </w:rPr>
              <w:t>历史上无 AI 时有过约 2 个月。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增量开发与适配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典型 2–3 周；范围 2 天–1 个月</w:t>
            </w:r>
          </w:p>
        </w:tc>
        <w:tc>
          <w:tcPr>
            <w:tcW w:w="4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复用既有架构可短至 1–2 天；全新增量、联调或多模块适配可达 1 个月。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Domain Test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每迭代约 2–3 天</w:t>
            </w:r>
          </w:p>
        </w:tc>
        <w:tc>
          <w:tcPr>
            <w:tcW w:w="4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 Domain 版本稳定性，不应等同于当期增量需求的完整集成测试。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计划节奏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双周 Sprint；季度/PI 预排</w:t>
            </w:r>
          </w:p>
        </w:tc>
        <w:tc>
          <w:tcPr>
            <w:tcW w:w="4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一个月约两个 Sprint；方案阶段通常安排后续 2–3 个 Sprint。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Consolas" w:ascii="Consolas" w:cs="Consolas" w:hAnsi="Consolas"/>
          <w:b w:val="true"/>
          <w:i w:val="true"/>
          <w:sz w:val="32"/>
          <w:shd w:fill="EFF0F1"/>
        </w:rPr>
        <w:t>PO角色 时间占比：可支持的最稳健表达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30"/>
        <w:gridCol w:w="1860"/>
        <w:gridCol w:w="3990"/>
      </w:tblGrid>
      <w:tr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工作类别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占比判断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证据强度与说明</w:t>
            </w:r>
          </w:p>
        </w:tc>
      </w:tr>
      <w:tr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遗留逻辑盘点 / 可行性分析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项目早期可接近 50%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受访者明确确认；团队熟悉仓库后会下降，不能作为全周期固定比例。</w:t>
            </w:r>
          </w:p>
        </w:tc>
      </w:tr>
      <w:tr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 需求拉齐 + 架构方案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访谈现场估算约 40%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受访者在现场白板中给出“上面两趴约 40%”，但原表未保留，建议仅作方向性估算。</w:t>
            </w:r>
          </w:p>
        </w:tc>
      </w:tr>
      <w:tr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票据/系统录入与管理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存在显著成本，未形成可靠比例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受访者认为开票与管理“挺耗时”，现场数字讨论不完整，不建议强行量化。</w:t>
            </w:r>
          </w:p>
        </w:tc>
      </w:tr>
      <w:tr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开发/测试/协调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其余时间动态分配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PO、架构、Dev 角色重叠，当前无法仅靠访谈拆出互斥且合计 100% 的比例。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 xml:space="preserve">咨询判断  </w:t>
            </w:r>
            <w:r>
              <w:rPr>
                <w:rFonts w:eastAsia="等线" w:ascii="Arial" w:cs="Arial" w:hAnsi="Arial"/>
                <w:sz w:val="22"/>
              </w:rPr>
              <w:t>报告不构造虚假的 100% 饼图。更可信的做法是连续跟踪 2–3 个 PI/Sprint，将“主动工作、等待、会议、知识检索、返工”分别计时。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5. 交接物与质量断点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35"/>
        <w:gridCol w:w="1950"/>
        <w:gridCol w:w="2520"/>
        <w:gridCol w:w="2490"/>
      </w:tblGrid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交接方向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现有交接物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主要质量问题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建议最小标准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车级 PM → 子 PM/FO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车型里程碑、季度/PI 目标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里程碑明确，但容量与依赖风险要到 PI 规划时再暴露。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目标、截止时间、容量假设、关键依赖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 → PO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系统需求、依赖票；部分场景仅一句话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系统集成关系和技术边界可能未定义，需求含义需 PO 再推导。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系统交互、上下游、接口契约、验收口径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PO/架构 → Dev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Spike 卡、Sprint 卡、口头/会议结论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方案在共创中形成；若未沉淀，工作量与设计理由不可追溯。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影响仓库、方案决策、风险、AC、估点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Dev → Test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代码、开发自测结果、版本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当期增量主要靠开发自测；测试集纳入滞后。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功能用例、预期结果、日志点、回归范围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Domain Test → 集成/System Test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稳定性结果、缺陷、新增回归用例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不同测试层的边界被混称；责任和时点不一致。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分层测试矩阵、用例 Owner、纳入 Sprint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缺陷 → PO/Dev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Bug 单、问题会议、跨版本追踪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历史责任跨供应商，问题可能半年后才暴露，定位和归责困难。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首次引入版本、复现条件、证据、Owner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四类关键交接物</w:t>
      </w:r>
      <w:bookmarkEnd w:id="12"/>
    </w:p>
    <w:p>
      <w:pPr>
        <w:numPr>
          <w:numId w:val="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需求包：系统目标、交互范围、依赖系统、接口契约和可验证 AC。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方案包：遗留现状、影响仓库、架构选择、Spike 结论和未决风险。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交付包：代码/配置、联调版本、开发自测证据和已知限制。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质量包：分层测试用例、纳入回归的 Sprint、失败证据和关闭标准。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6. 用户旅程：PO / 架构复合角色视角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05"/>
        <w:gridCol w:w="1590"/>
        <w:gridCol w:w="2400"/>
        <w:gridCol w:w="1590"/>
        <w:gridCol w:w="1665"/>
      </w:tblGrid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阶段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用户目标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关键行为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体验/风险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改进机会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接收需求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弄清 FO 到底要什么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阅读需求、补问上下文、确认系统依赖。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信息薄，担心遗漏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需求就绪度检查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盘点遗留系统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确认现有架构能否承载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查十几个仓库、代码与历史实现，拉各 Domain 讨论。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高认知负担；冷启动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知识图谱与影响分析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形成方案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在安全和可实现性前提下拍板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 Dev 做 Spike，验证接口、时序、性能和资源。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谨慎；怕后期卡住 1–2 个月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自动证据与方案模板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拆卡排期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把方案转成可执行工作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 Spec/Dev/Test 卡，安排 2–3 个 Sprint，暴露依赖风险。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管理成本高；估点波动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自动拆卡与估算基线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开发与联调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确保多仓库、多域增量可工作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编码/适配、跨 PO 协调、处理临时问题。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角色频繁切换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依赖看板和上下文助手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自测与交付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证明当期增量正确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开发自行功能测试、记录日志并交付版本。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质量责任集中于开发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测试草案与证据回填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等待回归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确认集成后版本稳定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等待 Domain/集成/System Test，在后续 Sprint 接收反馈。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反馈延迟；风险后移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 Sprint 增量门禁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缺陷回流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定位跨版本、跨团队问题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召集会议、追溯供应商与历史版本、修复回归。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高打断；归责争议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版本追溯和日志分诊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旅程低谷  </w:t>
            </w:r>
            <w:r>
              <w:rPr>
                <w:rFonts w:eastAsia="等线" w:ascii="Arial" w:cs="Arial" w:hAnsi="Arial"/>
                <w:sz w:val="22"/>
              </w:rPr>
              <w:t>“盘点遗留系统”是认知与时间成本最高的阶段；“等待回归—缺陷回流”是质量风险最集中的阶段。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7. 关键信息及其使用方式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35"/>
        <w:gridCol w:w="2295"/>
        <w:gridCol w:w="2730"/>
        <w:gridCol w:w="1635"/>
      </w:tblGrid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信息对象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包含什么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如何被使用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主要风险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车型/PI 里程碑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上市倒排、季度目标、Sprint 节点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决定需求优先级、人员投入和风险上报时点。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容量变化靠加人/拉长周期消化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 系统需求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系统级功能意图与少量依赖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作为 PO 影响分析和跨系统讨论的起点。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可能只有一句话，缺集成设计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依赖票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其他系统对 On/Off 或反向依赖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建立正式承诺；未提票时可拒绝执行。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发现过晚会影响排期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遗留代码与仓库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十几个仓库、既有时序/资源/接口逻辑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判断可复用性、确定改动点和方案风险。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人员不绑定，知识反复重建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架构/Spike 结论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技术路线、时序、性能、车型差异、可行性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支撑拆卡、估点和后续开发决策。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口头化会导致理由不可追溯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Sprint 卡与估点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Spec、开发、联调、测试任务和工时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资源计划、进度跟踪、成本解释。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阶段混合，无法解释波动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测试用例与结果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开发自测、Domain 回归、系统回归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证明功能与版本稳定性，发现缺陷。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测试层级边界与纳入时点不清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版本/缺陷历史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供应商、交付版本、首次失败时间、修复记录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跨半年追溯问题，判断归属和修复范围。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链路断裂导致甩锅和复盘困难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人员技能/熟悉度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Domain、仓库、模块知识和角色能力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分配人员、判断分析周期和风险。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未系统化盘点，不支持估算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信息使用的核心模式</w:t>
      </w:r>
      <w:bookmarkEnd w:id="15"/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里程碑信息用于“何时必须完成”；遗留代码与架构信息用于“能否完成、怎么完成”。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依赖票用于建立跨系统承诺；PO↔PO 讨论用于补足 FO 层未定义的技术实现。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Sprint 卡既是执行载体，也是成本解释载体，但当前没有把 Spike、知识重建和返工显式拆开。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测试用例和版本历史用于质量背书；由于反馈滞后，其价值更多体现在事后发现，而非当期预防。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8. 核心痛点与根因诊断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570"/>
        <w:gridCol w:w="1380"/>
        <w:gridCol w:w="2715"/>
        <w:gridCol w:w="2145"/>
        <w:gridCol w:w="1470"/>
      </w:tblGrid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级别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痛点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访谈证据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业务影响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根因</w:t>
            </w: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增量需求测试断层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开发自测当期增量；Domain/System Test 偏稳定性；新用例可能后移 1–2 Sprint。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集成问题延迟暴露，半年后仍可能追溯历史交付。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测试对象、Owner 与时点未分层</w:t>
            </w: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职责逐层下沉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 需求可能只一句话；系统集成方案由 PO/Dev 补齐；无人处理时逐级拉领导。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高技能人员做大量澄清与协调，方案责任模糊。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角色定义存在但产出标准缺失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跨系统依赖重复对齐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FO↔FO 和 PO↔PO 都要沟通；依赖未在上游充分表达。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会议与等待增加，排期风险后置。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依赖契约不完整、缺统一视图</w:t>
            </w: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管理性录入耗时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开票、系统录入和文档管理被明确认为成本高。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挤压方案与指导时间，且数据未必形成洞察。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工具碎片化与重复录入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根因链</w:t>
      </w:r>
      <w:bookmarkEnd w:id="17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上游需求和依赖未完全结构化 → PO/Dev 承担额外系统分析 → 依赖遗留代码与个人经验形成方案 → 任务估点波动且难解释 → 增量测试仍以开发自测为主 → 问题在后续版本回归中延迟暴露 → 跨团队追责和返工进一步占用关键角色。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sz w:val="36"/>
        </w:rPr>
        <w:t>9. 对数字员工 / Agent 平台的启示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产品原则  </w:t>
            </w:r>
            <w:r>
              <w:rPr>
                <w:rFonts w:eastAsia="等线" w:ascii="Arial" w:cs="Arial" w:hAnsi="Arial"/>
                <w:sz w:val="22"/>
              </w:rPr>
              <w:t>优先建设“需求—依赖—仓库—方案—测试—版本”的可追溯链，并把 Agent 用在影响分析、知识重建和质量编排上；单纯代码生成不是最大价值点。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80"/>
        <w:gridCol w:w="3840"/>
        <w:gridCol w:w="1515"/>
        <w:gridCol w:w="1230"/>
      </w:tblGrid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机会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能力描述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预期价值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前提/风险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需求与依赖审查 Agent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 FO 需求识别缺失的系统交互、依赖票、接口契约、验收口径，并生成澄清清单。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减少职责下沉与重复会议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需定义 FO/PO 最小交接标准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  <w:r>
              <w:rPr>
                <w:rFonts w:eastAsia="等线" w:ascii="Arial" w:cs="Arial" w:hAnsi="Arial"/>
                <w:sz w:val="22"/>
              </w:rPr>
              <w:t>. Spike 共创 Agent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根据需求与历史实现生成方案草案、风险清单、验证步骤和决策记录。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提高方案一致性和可追溯性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必须保留工程师审批与安全门禁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  <w:r>
              <w:rPr>
                <w:rFonts w:eastAsia="等线" w:ascii="Arial" w:cs="Arial" w:hAnsi="Arial"/>
                <w:sz w:val="22"/>
              </w:rPr>
              <w:t>. 分层测试编排 Agent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生成开发自测与增量集成用例；将新用例在当 Sprint 纳入 Domain/系统回归。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补齐增量质量闭环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需测试环境和自动化接口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  <w:r>
              <w:rPr>
                <w:rFonts w:eastAsia="等线" w:ascii="Arial" w:cs="Arial" w:hAnsi="Arial"/>
                <w:sz w:val="22"/>
              </w:rPr>
              <w:t>. 管理证据 Agent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自动汇总 Spike、等待、沟通、开发、测试和返工时间，形成容量与风险报告。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让负荷和资源诉求可证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避免把数据用于简单化绩效考核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不建议优先做</w:t>
      </w:r>
      <w:bookmarkEnd w:id="19"/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只做通用代码补全：不能解决知识重建、依赖治理和测试滞后。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把一个 Test Agent 同时覆盖开发测试、Domain Test、集成测试和 System Test：四者对象与责任不同。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在没有数据治理时直接做精确人效预测：当前角色重叠、卡片混合，容易制造虚假精度。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b w:val="true"/>
          <w:sz w:val="36"/>
          <w:u w:val="single"/>
        </w:rPr>
        <w:t>10. 建议行动路线图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65"/>
        <w:gridCol w:w="1455"/>
        <w:gridCol w:w="3765"/>
        <w:gridCol w:w="1995"/>
      </w:tblGrid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阶段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目标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关键动作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衡量指标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0–4 周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建立事实基线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抽取 2–3 个 Sprint；把分析、知识检索、Spike、开发、联调、等待、测试、返工分开记录。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各阶段中位时长、等待占比、估算偏差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0–4 周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明确测试分层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定义 SWE.4/5/6 或对应层级的对象、Owner、输入/输出；新增功能当 Sprint 建测试责任。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增量用例及时纳入率、缺陷发现阶段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4–8 周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规范最小交接包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FO→PO 和 PO→Dev 使用统一模板；依赖票、接口契约、AC、影响仓库与风险成为必填项。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需求就绪率、澄清轮次、返工率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4–10 周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建设知识与影响分析 MVP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索引 12 个 Domain、仓库、模块、Owner、历史方案和测试；先覆盖 On/Off 高频场景。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检索命中率、方案形成时长、新人上手时长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8–12 周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上线 Agent 辅助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需求审查、相似实现检索、拆卡草案、测试草案和证据汇总，均保留人工审批。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节省工时、采纳率、误报率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 周后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闭环质量与容量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把新增用例自动纳入回归；用实际数据校准区间估算和人员熟悉度矩阵。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逃逸缺陷率、周期波动、容量预测准确度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建议的北极星指标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 xml:space="preserve">从“FO 需求进入 PO”到“当期增量获得可复核、分层测试证据”的中位时长  </w:t>
            </w:r>
            <w:r>
              <w:rPr>
                <w:rFonts w:eastAsia="等线" w:ascii="Arial" w:cs="Arial" w:hAnsi="Arial"/>
                <w:sz w:val="22"/>
              </w:rPr>
              <w:t>该指标同时覆盖需求就绪度、知识重建、方案收敛、开发、联调和增量质量闭环，比单独统计代码量或票数更接近真实交付价值。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" w:id="22"/>
      <w:r>
        <w:rPr>
          <w:rFonts w:eastAsia="等线" w:ascii="Arial" w:cs="Arial" w:hAnsi="Arial"/>
          <w:b w:val="true"/>
          <w:sz w:val="36"/>
        </w:rPr>
        <w:t>11. 待验证问题与研究局限</w:t>
      </w:r>
      <w:bookmarkEnd w:id="2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下一轮访谈应验证</w:t>
      </w:r>
      <w:bookmarkEnd w:id="23"/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FO：系统需求、跨系统依赖和验收口径在正式流程中应交付到什么深度？一句话需求的真实比例是多少？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Dev（志宏、马婷）：Spike、编码、联调、自测、等待分别占多少时间？哪些仓库最难理解？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Domain / 集成 / System Test：各层实际测试对象、用例纳入时点、人员规模和缺陷发现分布。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项目管理：卡片中的工时能否区分 Spec、知识盘点、协调和返工？过去 3 个 PI 的估算偏差是多少？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组织负责人：人员不与 Domain 绑定的原因、收益与代价，是否存在稳定 Owner 或备份机制？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工具/数据：需求、依赖票、仓库、版本、测试和缺陷系统能否通过 API 建立追溯链？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局限</w:t>
      </w:r>
      <w:bookmarkEnd w:id="24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本报告基于一次、单一受访者访谈。时间区间属于经验描述，部分比例来自现场共同推演，且现场展示的资源表未随转写保留。因此结论适合用于流程诊断、机会排序和下一轮研究设计，不应直接作为个人绩效、人力预算或供应商扣款的唯一依据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" w:id="25"/>
      <w:r>
        <w:rPr>
          <w:rFonts w:eastAsia="等线" w:ascii="Arial" w:cs="Arial" w:hAnsi="Arial"/>
          <w:b w:val="true"/>
          <w:sz w:val="36"/>
        </w:rPr>
        <w:t>附录：关键证据索引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3720"/>
        <w:gridCol w:w="337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时间点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访谈证据主题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本报告中的使用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02:30–05:26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FO→PO/架构→多 Domain；方案讨论 1 周至 1 个月，通常 1–3 周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核心流程、方案周期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06:43–12:42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 2 天至 1 个月；开机动画三段、分辨率等案例；开发参与 Spike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开发波动、方案共创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15:14–21:44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季度/PI 倒排；Spec 与后续 2–3 Sprint；早期盘点可到 50%；典型开发 2–3 周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时间结构、计划节奏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22:27–23:44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两个开发加 PO/架构；角色随时切换，PO 也处理开发与缺陷初判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角色模型、关键人风险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29:12–34:28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人力资源盘点；Dev 参与需求分析；PO/架构/Dev 投入现场推演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时间占比、可解释性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34:56–40:21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Domain Test 2–3 天；集成/System Test 偏稳定性；新回归项可后移 1–2 Sprint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测试断层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40:47–41:56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SWE.4/5/6 测试层级不能由单一 Test Agent 全吃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边界、测试治理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42:36–51:39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系统平级但存在依赖；FO↔FO、PO↔PO；依赖票；FO 需求可能只有一句话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依赖治理、职责下沉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52:05–56:54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 信息传递稀疏；PO 动作与约 40% 现场估算；开票/管理耗时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时间占比与管理成本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58:01–59:19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职责与流程不清、负荷无法量化、外部仅靠信任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核心痛点与证据链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i w:val="true"/>
          <w:color w:val="8f959e"/>
          <w:sz w:val="22"/>
        </w:rPr>
        <w:t>资料来源：用户提供的《onoff访谈.txt》。未使用外部资料。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461100">
    <w:lvl>
      <w:start w:val="1"/>
      <w:numFmt w:val="lowerLetter"/>
      <w:suff w:val="tab"/>
      <w:lvlText w:val="%1."/>
      <w:rPr>
        <w:color w:val="3370ff"/>
      </w:rPr>
    </w:lvl>
  </w:abstractNum>
  <w:abstractNum w:abstractNumId="461101">
    <w:lvl>
      <w:start w:val="2"/>
      <w:numFmt w:val="lowerLetter"/>
      <w:suff w:val="tab"/>
      <w:lvlText w:val="%1."/>
      <w:rPr>
        <w:color w:val="3370ff"/>
      </w:rPr>
    </w:lvl>
  </w:abstractNum>
  <w:abstractNum w:abstractNumId="461102">
    <w:lvl>
      <w:start w:val="3"/>
      <w:numFmt w:val="lowerLetter"/>
      <w:suff w:val="tab"/>
      <w:lvlText w:val="%1."/>
      <w:rPr>
        <w:color w:val="3370ff"/>
      </w:rPr>
    </w:lvl>
  </w:abstractNum>
  <w:abstractNum w:abstractNumId="461103">
    <w:lvl>
      <w:start w:val="4"/>
      <w:numFmt w:val="lowerLetter"/>
      <w:suff w:val="tab"/>
      <w:lvlText w:val="%1."/>
      <w:rPr>
        <w:color w:val="3370ff"/>
      </w:rPr>
    </w:lvl>
  </w:abstractNum>
  <w:abstractNum w:abstractNumId="461104">
    <w:lvl>
      <w:numFmt w:val="bullet"/>
      <w:suff w:val="tab"/>
      <w:lvlText w:val="￮"/>
      <w:rPr>
        <w:color w:val="3370ff"/>
      </w:rPr>
    </w:lvl>
  </w:abstractNum>
  <w:abstractNum w:abstractNumId="461105">
    <w:lvl>
      <w:numFmt w:val="bullet"/>
      <w:suff w:val="tab"/>
      <w:lvlText w:val="￮"/>
      <w:rPr>
        <w:color w:val="3370ff"/>
      </w:rPr>
    </w:lvl>
  </w:abstractNum>
  <w:abstractNum w:abstractNumId="461106">
    <w:lvl>
      <w:numFmt w:val="bullet"/>
      <w:suff w:val="tab"/>
      <w:lvlText w:val="￮"/>
      <w:rPr>
        <w:color w:val="3370ff"/>
      </w:rPr>
    </w:lvl>
  </w:abstractNum>
  <w:abstractNum w:abstractNumId="461107">
    <w:lvl>
      <w:numFmt w:val="bullet"/>
      <w:suff w:val="tab"/>
      <w:lvlText w:val="￮"/>
      <w:rPr>
        <w:color w:val="3370ff"/>
      </w:rPr>
    </w:lvl>
  </w:abstractNum>
  <w:abstractNum w:abstractNumId="461108">
    <w:lvl>
      <w:numFmt w:val="bullet"/>
      <w:suff w:val="tab"/>
      <w:lvlText w:val="￮"/>
      <w:rPr>
        <w:color w:val="3370ff"/>
      </w:rPr>
    </w:lvl>
  </w:abstractNum>
  <w:abstractNum w:abstractNumId="461109">
    <w:lvl>
      <w:numFmt w:val="bullet"/>
      <w:suff w:val="tab"/>
      <w:lvlText w:val="￮"/>
      <w:rPr>
        <w:color w:val="3370ff"/>
      </w:rPr>
    </w:lvl>
  </w:abstractNum>
  <w:abstractNum w:abstractNumId="461110">
    <w:lvl>
      <w:numFmt w:val="bullet"/>
      <w:suff w:val="tab"/>
      <w:lvlText w:val="￮"/>
      <w:rPr>
        <w:color w:val="3370ff"/>
      </w:rPr>
    </w:lvl>
  </w:abstractNum>
  <w:abstractNum w:abstractNumId="461111">
    <w:lvl>
      <w:numFmt w:val="bullet"/>
      <w:suff w:val="tab"/>
      <w:lvlText w:val="￮"/>
      <w:rPr>
        <w:color w:val="3370ff"/>
      </w:rPr>
    </w:lvl>
  </w:abstractNum>
  <w:abstractNum w:abstractNumId="461112">
    <w:lvl>
      <w:numFmt w:val="bullet"/>
      <w:suff w:val="tab"/>
      <w:lvlText w:val="￮"/>
      <w:rPr>
        <w:color w:val="3370ff"/>
      </w:rPr>
    </w:lvl>
  </w:abstractNum>
  <w:abstractNum w:abstractNumId="461113">
    <w:lvl>
      <w:numFmt w:val="bullet"/>
      <w:suff w:val="tab"/>
      <w:lvlText w:val="￮"/>
      <w:rPr>
        <w:color w:val="3370ff"/>
      </w:rPr>
    </w:lvl>
  </w:abstractNum>
  <w:abstractNum w:abstractNumId="461114">
    <w:lvl>
      <w:numFmt w:val="bullet"/>
      <w:suff w:val="tab"/>
      <w:lvlText w:val="￮"/>
      <w:rPr>
        <w:color w:val="3370ff"/>
      </w:rPr>
    </w:lvl>
  </w:abstractNum>
  <w:abstractNum w:abstractNumId="461115">
    <w:lvl>
      <w:numFmt w:val="bullet"/>
      <w:suff w:val="tab"/>
      <w:lvlText w:val="￮"/>
      <w:rPr>
        <w:color w:val="3370ff"/>
      </w:rPr>
    </w:lvl>
  </w:abstractNum>
  <w:abstractNum w:abstractNumId="461116">
    <w:lvl>
      <w:numFmt w:val="bullet"/>
      <w:suff w:val="tab"/>
      <w:lvlText w:val="￮"/>
      <w:rPr>
        <w:color w:val="3370ff"/>
      </w:rPr>
    </w:lvl>
  </w:abstractNum>
  <w:num w:numId="1">
    <w:abstractNumId w:val="461100"/>
  </w:num>
  <w:num w:numId="2">
    <w:abstractNumId w:val="461101"/>
  </w:num>
  <w:num w:numId="3">
    <w:abstractNumId w:val="461102"/>
  </w:num>
  <w:num w:numId="4">
    <w:abstractNumId w:val="461103"/>
  </w:num>
  <w:num w:numId="5">
    <w:abstractNumId w:val="461104"/>
  </w:num>
  <w:num w:numId="6">
    <w:abstractNumId w:val="461105"/>
  </w:num>
  <w:num w:numId="7">
    <w:abstractNumId w:val="461106"/>
  </w:num>
  <w:num w:numId="8">
    <w:abstractNumId w:val="461107"/>
  </w:num>
  <w:num w:numId="9">
    <w:abstractNumId w:val="461108"/>
  </w:num>
  <w:num w:numId="10">
    <w:abstractNumId w:val="461109"/>
  </w:num>
  <w:num w:numId="11">
    <w:abstractNumId w:val="461110"/>
  </w:num>
  <w:num w:numId="12">
    <w:abstractNumId w:val="461111"/>
  </w:num>
  <w:num w:numId="13">
    <w:abstractNumId w:val="461112"/>
  </w:num>
  <w:num w:numId="14">
    <w:abstractNumId w:val="461113"/>
  </w:num>
  <w:num w:numId="15">
    <w:abstractNumId w:val="461114"/>
  </w:num>
  <w:num w:numId="16">
    <w:abstractNumId w:val="461115"/>
  </w:num>
  <w:num w:numId="17">
    <w:abstractNumId w:val="46111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2026-08-10T04:52:44Z</dcterms:created>
  <dc:creator>Apache POI</dc:creator>
</cp:coreProperties>
</file>