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1520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8D4"/>
                <w:spacing w:val="40"/>
                <w:sz w:val="56"/>
                <w:szCs w:val="56"/>
              </w:rPr>
              <w:t xml:space="preserve">CYJAN® SENTRY MODE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pacing w:val="80"/>
                <w:sz w:val="22"/>
                <w:szCs w:val="22"/>
              </w:rPr>
              <w:t xml:space="preserve">OT-NETZWERKSCHUTZ DER NÄCHSTEN GENERATION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0F0F7"/>
                <w:sz w:val="18"/>
                <w:szCs w:val="18"/>
              </w:rPr>
              <w:t xml:space="preserve">Passives Intrusion Detection · Anomalieerkennung in Echtzeit · OT/ICS-Protokollanalyse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41520"/>
          <w:sz w:val="36"/>
          <w:szCs w:val="36"/>
        </w:rPr>
        <w:t xml:space="preserve">Passives Netzwerkmonitoring und
Angriffserkennung für die Industrie</w:t>
      </w:r>
    </w:p>
    <w:p>
      <w:pPr>
        <w:spacing w:after="200" w:before="1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CYJAN Sentry Mode ist ein hochspezialisiertes IDS für industrielle Steuerungsnetze (OT/ICS). Das System arbeitet vollständig passiv – ohne Eingriff in laufende Prozesse – und erkennt Bedrohungen, Anomalien und unautorisierte Zugriffe in Echtzeit. Entwickelt für KRITIS-relevante Infrastrukturen, Produktionsanlagen und kritische Versorgungsnetze.</w:t>
      </w:r>
    </w:p>
    <w:p>
      <w:pPr>
        <w:pBdr>
          <w:bottom w:val="single" w:color="00B8D4" w:sz="6" w:space="4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007A8A"/>
          <w:sz w:val="20"/>
          <w:szCs w:val="20"/>
        </w:rPr>
        <w:t xml:space="preserve">INTEGRIERTE FUNKTIONEN &amp; FEATURES</w:t>
      </w:r>
    </w:p>
    <w:p>
      <w:pPr>
        <w:spacing w:after="120" w:before="120"/>
      </w:pPr>
    </w:p>
    <w:tbl>
      <w:tblPr>
        <w:tblW w:type="dxa" w:w="90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Passives, nicht-invasives Netzwerkmonitoring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Echtzeit-Erkennung von Eindringversuchen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Mehrstufige kognitive Anomalieerkennung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OT/ICS Protokollanalyse (PROFINET, Modbus, S7)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Asset Discovery &amp; Inventarisierung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Verhaltensbasierte Baseline-Analyse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Integration: SIEM / SOC / MSSP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Deep Packet Inspection für OT-Protokolle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Erkennung von Zero-Day-Angriffsmustern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Gehärtetes Linux OS – manipulationssicher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Bis zu 1 Gbps Datendurchsatz (Peak)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2× Mirror-/SPAN-Port Unterstützung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Verschlüsselte Kommunikation (SNMPv3, TLS)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KRITIS-konformes Alarmmanagement</w:t>
            </w:r>
          </w:p>
        </w:tc>
      </w:tr>
    </w:tbl>
    <w:p>
      <w:pPr>
        <w:spacing w:after="0" w:before="320"/>
      </w:pPr>
    </w:p>
    <w:p>
      <w:pPr>
        <w:pBdr>
          <w:bottom w:val="single" w:color="00B8D4" w:sz="6" w:space="4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007A8A"/>
          <w:sz w:val="20"/>
          <w:szCs w:val="20"/>
        </w:rPr>
        <w:t xml:space="preserve">CYJAN SENTRY MODE – KERNFUNKTIONEN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41520"/>
          <w:sz w:val="22"/>
          <w:szCs w:val="22"/>
        </w:rPr>
        <w:t xml:space="preserve">Threat Intelligence Engine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Kontinuierliche Signaturaktualisierung gegen bekannte ICS/SCADA-Angriffsvektoren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Korrelation von Netzwerkereignissen über mehrere Segmente und Zeitzonen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Erkennung von Lateral Movement, Credential Harvesting und C2-Kommunikation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41520"/>
          <w:sz w:val="22"/>
          <w:szCs w:val="22"/>
        </w:rPr>
        <w:t xml:space="preserve">OT-Protokollanalyse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Native Unterstützung: EtherCAT, BACnet, PROFINET, Modbus TCP, S7Comm, DNP3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Erkennung illegitimer Kommandos und Wertänderungen in Steuerprotokollen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Sitzungsrekonstruktion und forensische PCAP-Aufzeichnung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41520"/>
          <w:sz w:val="22"/>
          <w:szCs w:val="22"/>
        </w:rPr>
        <w:t xml:space="preserve">Management &amp; Analyse-Konsole (MAK)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Grafische Netzwerktopologie mit Echtzeit-Bedrohungsvisualisierung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Risikoklassifizierung nach CVSS und branchenspezifischen Normen (IEC 62443)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Alarmausgabe per SMTP, SFTP, REST-API, Syslog, OPC UA DA, Relais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Automatisierte Auditreports für BSI-Grundschutz, NIS2 und ISO 27001</w:t>
      </w:r>
    </w:p>
    <w:p>
      <w:pPr>
        <w:spacing w:after="0" w:before="320"/>
      </w:pPr>
    </w:p>
    <w:p>
      <w:pPr>
        <w:pBdr>
          <w:bottom w:val="single" w:color="00B8D4" w:sz="6" w:space="4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007A8A"/>
          <w:sz w:val="20"/>
          <w:szCs w:val="20"/>
        </w:rPr>
        <w:t xml:space="preserve">EINSATZBEREICHE</w:t>
      </w:r>
    </w:p>
    <w:p>
      <w:pPr>
        <w:spacing w:after="120" w:before="1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single" w:color="00B8D4" w:sz="3"/>
            </w:tcBorders>
            <w:shd w:fill="041520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Energie &amp; Versorgung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single" w:color="00B8D4" w:sz="3"/>
            </w:tcBorders>
            <w:shd w:fill="041520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Produktion &amp; Fertigung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single" w:color="00B8D4" w:sz="3"/>
            </w:tcBorders>
            <w:shd w:fill="041520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Wasser &amp; Abwasser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single" w:color="00B8D4" w:sz="3"/>
            </w:tcBorders>
            <w:shd w:fill="041520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Transport &amp; Logistik</w:t>
            </w:r>
          </w:p>
        </w:tc>
      </w:tr>
    </w:tbl>
    <w:p>
      <w:pPr>
        <w:spacing w:after="0" w:before="320"/>
      </w:pPr>
    </w:p>
    <w:p>
      <w:pPr>
        <w:pBdr>
          <w:bottom w:val="single" w:color="00B8D4" w:sz="6" w:space="4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007A8A"/>
          <w:sz w:val="20"/>
          <w:szCs w:val="20"/>
        </w:rPr>
        <w:t xml:space="preserve">TECHNISCHE DATEN</w:t>
      </w:r>
    </w:p>
    <w:p>
      <w:pPr>
        <w:spacing w:after="12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FORMFAKTOR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Industrie-Appliance | lüfterlos | 19" Rack / DIN-Hutschiene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MASSE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445 × 44 × 280 mm (1HE) | 3,2 kg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SPANNUNGSVERSORGUNG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DC 12V–48V / AC 100–240V (redundant, opt.)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LEISTUNGSAUFNAHME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max. 45 W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SCHUTZART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IP20 (IP40/IP65 auf Anfrage)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BETRIEBSTEMPERATUR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-20 bis +70 °C | Lagerung: -20 bis +70 °C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LUFTFEUCHTIGKEIT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10–90 % rel. LF, nicht kondensierend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ETHERNET PORTS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4× 1GbE RJ45 (1× Management, 3× Monitor/SPAN)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WEITERE ANSCHLÜSSE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2× SFP | 2× USB 3.0 | 1× HDMI | 2× seriell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MAX. DURCHSATZ PEAK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1 Gbps pro Port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ALARMIERUNG PER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SMTP, SFTP, REST-API, Syslog, OPC UA DA, Relais (opt.)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EXPORT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PCAP, CSV, XLSX, PDF, ODT, XML, CRYPTED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KOMMUNIKATION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HTTPS, SFTP, SSH, SNMPv3, NTP, IRMA® Guard-kompatibel</w:t>
            </w:r>
          </w:p>
        </w:tc>
      </w:tr>
      <w:tr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18"/>
                <w:szCs w:val="18"/>
              </w:rPr>
              <w:t xml:space="preserve">ANALYSIERTE PROTOKOLLE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D0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EtherCAT, BACnet, PROFINET, Modbus TCP, S7Comm, DNP3, IEC 104 (vollständige Liste auf Anfrage)</w:t>
            </w:r>
          </w:p>
        </w:tc>
      </w:tr>
    </w:tbl>
    <w:p>
      <w:pPr>
        <w:spacing w:after="0" w:before="320"/>
      </w:pPr>
    </w:p>
    <w:p>
      <w:pPr>
        <w:pBdr>
          <w:bottom w:val="single" w:color="00B8D4" w:sz="6" w:space="4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007A8A"/>
          <w:sz w:val="20"/>
          <w:szCs w:val="20"/>
        </w:rPr>
        <w:t xml:space="preserve">LIEFERUMFANG &amp; BESTELLNUMMERN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41520"/>
          <w:sz w:val="20"/>
          <w:szCs w:val="20"/>
        </w:rPr>
        <w:t xml:space="preserve">Lieferumfang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CYJAN Sentry Appliance, Rack-Montagekit / Hutschienenadapter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Netzkabel EU, 4× Cat6 RJ45 Patchkabel (1,5 m), Kurzanleitung</w:t>
      </w:r>
    </w:p>
    <w:p>
      <w:pPr>
        <w:pStyle w:val="ListParagraph"/>
        <w:numPr>
          <w:ilvl w:val="0"/>
          <w:numId w:val="2"/>
        </w:numPr>
        <w:spacing w:after="40" w:before="40"/>
        <w:ind w:left="600" w:hanging="300"/>
      </w:pPr>
      <w:r>
        <w:rPr>
          <w:rFonts w:ascii="Arial" w:cs="Arial" w:eastAsia="Arial" w:hAnsi="Arial"/>
          <w:color w:val="0A1628"/>
          <w:sz w:val="18"/>
          <w:szCs w:val="18"/>
        </w:rPr>
        <w:t xml:space="preserve">Optionen: Potentialfreie Kontakte (4× 30V/2A), LTE-Modul, redundantes Netzteil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41520"/>
          <w:sz w:val="20"/>
          <w:szCs w:val="20"/>
        </w:rPr>
        <w:t xml:space="preserve">Bestellnummern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20"/>
                <w:szCs w:val="20"/>
              </w:rPr>
              <w:t xml:space="preserve">CYJAN-SM-250</w:t>
            </w:r>
          </w:p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bis 250 Assets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F7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20"/>
                <w:szCs w:val="20"/>
              </w:rPr>
              <w:t xml:space="preserve">CYJAN-SM-500</w:t>
            </w:r>
          </w:p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bis 500 Assets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8A"/>
                <w:sz w:val="20"/>
                <w:szCs w:val="20"/>
              </w:rPr>
              <w:t xml:space="preserve">CYJAN-SM-1000</w:t>
            </w:r>
          </w:p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bis 1000 Assets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Weitere Varianten für Sonderumgebungen (Ex-Schutz, maritime, Vibration) auf Anfrage.</w:t>
      </w:r>
    </w:p>
    <w:p>
      <w:pPr>
        <w:spacing w:after="0" w:before="4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8D4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Weitere Informationen zu CYJAN® finden Sie auf unserer Webseite  www.cyjan.io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CYJAN Security Systems GmbH  ·  Musterstraße 1  ·  DE-28203 Bremen  ·  protect@cyjan.io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8D4" w:sz="4" w:space="6"/>
      </w:pBdr>
      <w:tabs>
        <w:tab w:val="center" w:pos="4503"/>
        <w:tab w:val="right" w:pos="9006"/>
      </w:tabs>
    </w:pPr>
    <w:r>
      <w:rPr>
        <w:rFonts w:ascii="Arial" w:cs="Arial" w:eastAsia="Arial" w:hAnsi="Arial"/>
        <w:color w:val="4A5568"/>
        <w:sz w:val="16"/>
        <w:szCs w:val="16"/>
      </w:rPr>
      <w:t xml:space="preserve">CYJAN Security Systems · protect@cyjan.io · www.cyjan.io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00B8D4"/>
        <w:sz w:val="16"/>
        <w:szCs w:val="16"/>
      </w:rPr>
      <w:t xml:space="preserve">SENTRY MODE FOR OT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5568"/>
        <w:sz w:val="16"/>
        <w:szCs w:val="16"/>
      </w:rP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506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41520" w:val="clear"/>
          <w:tcMar>
            <w:top w:type="dxa" w:w="120"/>
            <w:left w:type="dxa" w:w="240"/>
            <w:bottom w:type="dxa" w:w="12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00B8D4"/>
              <w:sz w:val="52"/>
              <w:szCs w:val="52"/>
            </w:rPr>
            <w:t xml:space="preserve">CYJAN</w:t>
          </w:r>
        </w:p>
        <w:p>
          <w:pPr>
            <w:spacing w:before="0"/>
          </w:pPr>
          <w:r>
            <w:rPr>
              <w:rFonts w:ascii="Arial" w:cs="Arial" w:eastAsia="Arial" w:hAnsi="Arial"/>
              <w:color w:val="FFFFFF"/>
              <w:spacing w:val="60"/>
              <w:sz w:val="18"/>
              <w:szCs w:val="18"/>
            </w:rPr>
            <w:t xml:space="preserve">INTRUSION DETECTION SYSTEM</w:t>
          </w:r>
        </w:p>
      </w:tc>
      <w:tc>
        <w:tcPr>
          <w:tcW w:type="dxa" w:w="2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B8D4" w:val="clear"/>
          <w:tcMar>
            <w:top w:type="dxa" w:w="120"/>
            <w:left w:type="dxa" w:w="240"/>
            <w:bottom w:type="dxa" w:w="120"/>
            <w:right w:type="dxa" w:w="24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SENTRY MODE</w:t>
          </w:r>
        </w:p>
        <w:p>
          <w:pPr>
            <w:spacing w:before="40"/>
            <w:jc w:val="center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FOR OT NETWORKS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300"/>
      </w:pPr>
      <w:rPr>
        <w:color w:val="00B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6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415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07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2026-04-20T18:05:05.980Z</dcterms:created>
  <dcterms:modified xsi:type="dcterms:W3CDTF">2026-04-20T18:05:05.981Z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