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5355" w14:textId="77777777" w:rsidR="00000000" w:rsidRDefault="00000000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범죄피해자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보호법</w:t>
      </w:r>
    </w:p>
    <w:p w14:paraId="618995C8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3. 21.]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20433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9. 20.,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7643F272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인권구조과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02-2110-3263</w:t>
      </w:r>
    </w:p>
    <w:p w14:paraId="27B8F9A0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7E4D2C7D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14:paraId="71B0AE8B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225038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생명ㆍ신체에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救助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기여함을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104533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DF844C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기본이념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빨리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벗어나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존엄성을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739F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범죄피해자의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BBA8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범죄피해자는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2D4D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CF6C61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1A14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“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직계친족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9D025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수사ㆍ변호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70C0C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9FF95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“</w:t>
      </w:r>
      <w:r>
        <w:rPr>
          <w:rFonts w:ascii="HYSMyeongJo-Medium" w:hAnsi="HYSMyeongJo-Medium" w:cs="HYSMyeongJo-Medium"/>
          <w:sz w:val="20"/>
          <w:szCs w:val="20"/>
        </w:rPr>
        <w:t>구조대상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중상해를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2D6C2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“</w:t>
      </w:r>
      <w:r>
        <w:rPr>
          <w:rFonts w:ascii="HYSMyeongJo-Medium" w:hAnsi="HYSMyeongJo-Medium" w:cs="HYSMyeongJo-Medium"/>
          <w:sz w:val="20"/>
          <w:szCs w:val="20"/>
        </w:rPr>
        <w:t>장해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9ADD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“</w:t>
      </w:r>
      <w:r>
        <w:rPr>
          <w:rFonts w:ascii="HYSMyeongJo-Medium" w:hAnsi="HYSMyeongJo-Medium" w:cs="HYSMyeongJo-Medium"/>
          <w:sz w:val="20"/>
          <w:szCs w:val="20"/>
        </w:rPr>
        <w:t>중상해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25B1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123E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805443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D16F9A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14:paraId="657539D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홍보</w:t>
      </w:r>
    </w:p>
    <w:p w14:paraId="5D37C3D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</w:t>
      </w:r>
    </w:p>
    <w:p w14:paraId="3F6102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7B510F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지방자치단체의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적극적으로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4858D1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25CEE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2E189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D717FC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63F5D2A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범죄피해자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보호ㆍ지원의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정책</w:t>
      </w:r>
    </w:p>
    <w:p w14:paraId="57E601BA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DDD24D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피해정도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의료제공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치료비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구조금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법률구조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취업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주거지원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17DC52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신체적ㆍ정신적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보호시설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「의료법」에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「고등교육법」에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7A637F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프로그램을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142A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보호시설의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입소ㆍ퇴소의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위탁운영의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프로그램의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BA37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8F8210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형사절차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참여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국가는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수사담당자와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형사절차상의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217D0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공판기일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9B19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7298AC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범죄피해자에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국가는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FBF08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범죄피해자의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형사절차상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6EBCE1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범죄피해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5F14F09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복지증진을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415E05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07DD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15.]</w:t>
      </w:r>
    </w:p>
    <w:p w14:paraId="7BC455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15222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사생활의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3CD16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형사소송절차에서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EEAD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895FF3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교육ㆍ훈련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상담ㆍ의료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훈련을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D6C597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10B1E3F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홍보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조사연구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홍보를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382F5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지원정책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1BFA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65E7DD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범죄피해자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20DA1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14:paraId="300ADE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F7DB86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범죄피해자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보호ㆍ지원의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14:paraId="5EAD671D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3D59AFA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4B49D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기본계획에는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1DEA9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기본방향과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추진목표</w:t>
      </w:r>
    </w:p>
    <w:p w14:paraId="66BCBF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</w:p>
    <w:p w14:paraId="721CB0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</w:p>
    <w:p w14:paraId="519CEC0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</w:t>
      </w:r>
    </w:p>
    <w:p w14:paraId="0C188C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4D147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BA7984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연도별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특별시장ㆍ광역시장ㆍ도지사ㆍ특별자치도지사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788B0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부적합하다고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보완ㆍ조정을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F97B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01B9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C34665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146F1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A0D4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040B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8421DB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범죄피해자보호위원회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범죄피해자보호위원회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보호위원회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B7B00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보호위원회는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DC58F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84E47F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E2C6E6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지원ㆍ감독에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99365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6A1B0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보호위원회는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0AAD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BB89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DA69F10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범죄피해에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</w:t>
      </w:r>
    </w:p>
    <w:p w14:paraId="5C310679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5FD22BB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구조피해자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구조금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E5056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90DBB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고소ㆍ고발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수사단서를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ED391D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8F61D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유족구조금ㆍ장해구조금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중상해구조금으로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20.&gt;</w:t>
      </w:r>
    </w:p>
    <w:p w14:paraId="78A942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유족구조금은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순위가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똑같이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6661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장해구조금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중상해구조금은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장해구조금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중상해구조금의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중상해구조금을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순위가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똑같이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42AB1F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구조금은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구조피해자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질병이나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39D9645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구조피해자나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범죄피해구조심의회가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3EB0B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범죄피해구조심의회가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B266DD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51DB7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유족구조금이나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장해구조금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중상해구조금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유족구조금등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14:paraId="0B5CCA0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</w:t>
      </w:r>
    </w:p>
    <w:p w14:paraId="01BE728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구조피해자의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손자ㆍ손녀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14:paraId="023CDA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손자ㆍ손녀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조부모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</w:p>
    <w:p w14:paraId="739237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7629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유족구조금등을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친부모를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0F2F17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유족이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유족구조금등을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1CB6F4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구조피해자를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1CD20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유족구조금등을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55BC2E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유족구조금등을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선순위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C509E2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BCF817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구조금을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범죄행위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구조피해자와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2A6FA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AD9E2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직계혈족</w:t>
      </w:r>
    </w:p>
    <w:p w14:paraId="63C3DC4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3. 4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</w:t>
      </w:r>
    </w:p>
    <w:p w14:paraId="6BE6920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동거친족</w:t>
      </w:r>
    </w:p>
    <w:p w14:paraId="077C97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범죄행위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D90A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6998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041C97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과도한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폭행ㆍ협박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57F5E6C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0FA263B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63D72E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집단적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11278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범죄행위에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4CA549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12B06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폭행ㆍ협박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7405C03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加功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부주의한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1BAD1B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유족구조금등을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구조피해자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구조피해자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5B0536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구조피해자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사회통념에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02D2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사회통념에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10. 15.&gt;</w:t>
      </w:r>
    </w:p>
    <w:p w14:paraId="714A58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33A97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법령에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급여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구조피해자나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「국가배상법」이나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급여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4F9BD8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2BE9E3A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국가는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구조피해자나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받았으면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6D03D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DB5A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수형자나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보호감호대상자의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작업장려금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근로보상금에서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2FEC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07FF00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구조금액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유족구조금은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월급액이나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월실수입액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평균임금에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24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48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생계유지상황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47287B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장해구조금과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중상해구조금은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월급액이나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월실수입액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48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중상해의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생계유지상황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771250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월급액이나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월실수입액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시장ㆍ군수ㆍ구청장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공신력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B819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월급액이나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월실수입액이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평균임금의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월급액이나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월실수입액으로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C659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59192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625B6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D9BFA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혼인관계를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양육하고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F994CF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「출입국관리법」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영주자격</w:t>
      </w:r>
    </w:p>
    <w:p w14:paraId="172B8D75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「출입국관리법」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장기체류자격으로서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체류자격</w:t>
      </w:r>
    </w:p>
    <w:p w14:paraId="7CDE8B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14:paraId="009BCB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EB361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범죄피해구조심의회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구조금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심의ㆍ결정하기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지방검찰청에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범죄피해구조심의회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범죄피해구조본부심의회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본부심의회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14:paraId="2187C9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지구심의회는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지방검찰청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71467C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본부심의회는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143C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재심신청사건</w:t>
      </w:r>
    </w:p>
    <w:p w14:paraId="7B61DDE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48BCE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지구심의회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본부심의회는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지휘ㆍ감독을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8672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지구심의회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본부심의회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14.&gt;</w:t>
      </w:r>
    </w:p>
    <w:p w14:paraId="6ADD33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지구심의회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본부심의회의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14.&gt;</w:t>
      </w:r>
    </w:p>
    <w:p w14:paraId="42FD0D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FFEC0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거주지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50E47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CE18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0950C7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신속하게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지급한다는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10D3CB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3DE93B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재심신청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일부기각된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각하하면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본부심의회에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CD4C0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지구심의회는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본부심의회에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D76E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본부심의회는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A530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본부심의회는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지구심의회의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지구심의회에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437C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본부심의회는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지구심의회에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FA73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11BED3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긴급구조금의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중상해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신속하게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7686C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지구심의회에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0773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지구심의회가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긴급구조금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ED1B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긴급구조금을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긴급구조금으로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3C10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긴급구조금을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지구심의회에서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긴급구조금으로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지구심의회에서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긴급구조금으로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421D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31601A6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조회하여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14:paraId="4EE226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지구심의회는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FC4A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DCEB29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지급능력을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법원행정처ㆍ행정안전부ㆍ국토교통부ㆍ국세청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「국민건강보험법」에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국민건강보험공단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기관ㆍ단체의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전산망의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DA5A74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초본</w:t>
      </w:r>
    </w:p>
    <w:p w14:paraId="470EAAE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가해자의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토지ㆍ건물에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등기정보자료</w:t>
      </w:r>
    </w:p>
    <w:p w14:paraId="18BF39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가해자의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건축물대장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임야대장</w:t>
      </w:r>
    </w:p>
    <w:p w14:paraId="7B0EF9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가해자의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등기정보자료</w:t>
      </w:r>
    </w:p>
    <w:p w14:paraId="0887E2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가해자의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자동차ㆍ건설기계ㆍ항공기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등기자료</w:t>
      </w:r>
    </w:p>
    <w:p w14:paraId="6009FB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가해자가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14:paraId="7A12BD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가해자의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광업권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어업권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양식업권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14:paraId="3C04F0A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「국민건강보험법」에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보수ㆍ소득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가해자가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직장가입자인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491AC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가해자에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재산세ㆍ종합부동산세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부과자료</w:t>
      </w:r>
    </w:p>
    <w:p w14:paraId="038850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7805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8123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3B47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지구심의회는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36CC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14:paraId="596105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2C4C4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금융정보등의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손해배상청구권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금융정보등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지급능력이나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「금융실명거래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비밀보장에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금융회사등의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특정점포에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금융정보등의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금융정보등의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최소한의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그쳐야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077261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「금융실명거래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예금ㆍ적금ㆍ저축의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불입금ㆍ지급금과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증권ㆍ증서의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14:paraId="45FC582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환급금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</w:t>
      </w:r>
    </w:p>
    <w:p w14:paraId="7CCDD0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지구심의회는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금융정보등의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CFB75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구조대상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유죄판결이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약식명령이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1B861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구조대상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980C1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금융정보등의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특정점포는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964F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특정점포에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금융정보등을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「금융실명거래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6FF8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금융정보등을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90E2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금융정보등은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형사재판에서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4F9C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지구심의회는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추심이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손해배상청구권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금융정보등을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2849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20.]</w:t>
      </w:r>
    </w:p>
    <w:p w14:paraId="3C8E74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19A1C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국가는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지구심의회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본부심의회의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26052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452274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구조금을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EB883E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구조금이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7A879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국세징수의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우선순위는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557B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B660E8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구조결정이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549424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680EF8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수급권의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B71849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4CF8E621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범죄피해자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보호ㆍ지원사업의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03A16645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61DD163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범죄피해자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9AA42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B99E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2FE982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등록법인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30., 2016. 12. 2.&gt;</w:t>
      </w:r>
    </w:p>
    <w:p w14:paraId="0C20F0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위탁기관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66B67B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법무부장관으로부터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보조사업에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01A7B9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A81D3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30.]</w:t>
      </w:r>
    </w:p>
    <w:p w14:paraId="01AC2D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6AA19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등록법인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용도로만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26C71B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3F7CC8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25.&gt;</w:t>
      </w:r>
    </w:p>
    <w:p w14:paraId="312034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9CA7A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업무ㆍ회계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03D83C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994345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5A8AD4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30CFF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법무부장관의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4A7F3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36DA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558651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오인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B29FB1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491965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영향력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형사절차에서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가해자에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소송관계인에게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04249C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A15F30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비밀누설의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종사하였던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사생활에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719E86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37F5977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수수료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종사하였던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보호ㆍ지원한다는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63C0F81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CF9685B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형사조정</w:t>
      </w:r>
    </w:p>
    <w:p w14:paraId="0725768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433FE7B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형사조정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검사는피의자와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사이에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형사분쟁을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원만하게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형사사건을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5A826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형사조정에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회부하여서는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EB14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B7356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공소시효의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2DB815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불기소처분의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기소유예처분의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9FECB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EDFB98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형사조정위원회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담당하기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지방검찰청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7DD14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형사조정위원회는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5B31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형사조정위원은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덕망을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지방검찰청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86D5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「국가공무원법」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C47B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형사조정위원의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C5A4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형사조정위원회의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지방검찰청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40B4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형사조정위원에게는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숙박료를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67A4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任免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190C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40640C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형사조정의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EECB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형사조정위원회는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회부되면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FF38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형사조정위원회는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2050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CA4B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CAC4BB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송부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형사사건을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수사서류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E189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76A4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8F69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형사조정위원회는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CE52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4A4D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C8CCE1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형사조정절차의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조정기일마다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0CC36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형사조정위원회는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증거위조나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혐의가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604C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형사조정위원회는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6154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형사조정이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ED0D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형사조정의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216D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C7DEB0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형사조정위원이나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형사조정위원이었던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5AE1CC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03929872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29EF0FF4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343C28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경찰관서의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가족구성원을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긴급히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경찰관서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지구대ㆍ파출소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경찰관서의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989B7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30.]</w:t>
      </w:r>
    </w:p>
    <w:p w14:paraId="636158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98DE02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14:paraId="0B89C048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EA23D8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금융정보등을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사용ㆍ제공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14:paraId="712061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024F21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30B8AF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9. 20.&gt;</w:t>
      </w:r>
    </w:p>
    <w:p w14:paraId="3833F6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87D01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7.&gt;</w:t>
      </w:r>
    </w:p>
    <w:p w14:paraId="414665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4A589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D8D7FC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86B169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사용인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科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9. 20.&gt;</w:t>
      </w:r>
    </w:p>
    <w:p w14:paraId="1F4E3B8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74F7FD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FE933D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077019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085F8E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EAB26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E2F398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BA7D0D5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0034137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07E9998D" w14:textId="77777777" w:rsidR="00000000" w:rsidRDefault="00000000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20433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9. 20.&gt;</w:t>
      </w:r>
    </w:p>
    <w:p w14:paraId="27B45D0A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D61FF8E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유족에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장해구조금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중상해구조금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구조피해자가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395C9E5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구조금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46F31D4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외국인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D7717A" w14:textId="77777777" w:rsidR="004D7948" w:rsidRDefault="004D7948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4D7948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DC919" w14:textId="77777777" w:rsidR="004D7948" w:rsidRDefault="004D7948">
      <w:r>
        <w:separator/>
      </w:r>
    </w:p>
  </w:endnote>
  <w:endnote w:type="continuationSeparator" w:id="0">
    <w:p w14:paraId="48EEF817" w14:textId="77777777" w:rsidR="004D7948" w:rsidRDefault="004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02A417D2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31792" w14:textId="099D5704" w:rsidR="00000000" w:rsidRDefault="00871B2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7F9166BC" wp14:editId="59576A7E">
                <wp:extent cx="304800" cy="213360"/>
                <wp:effectExtent l="0" t="0" r="0" b="0"/>
                <wp:docPr id="7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C00C0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458EE1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7325D" w14:textId="77A40103" w:rsidR="00000000" w:rsidRDefault="00871B2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081F43B8" wp14:editId="6F1E4759">
                <wp:extent cx="327660" cy="205740"/>
                <wp:effectExtent l="0" t="0" r="0" b="0"/>
                <wp:docPr id="8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BAB39" w14:textId="77777777" w:rsidR="004D7948" w:rsidRDefault="004D7948">
      <w:r>
        <w:separator/>
      </w:r>
    </w:p>
  </w:footnote>
  <w:footnote w:type="continuationSeparator" w:id="0">
    <w:p w14:paraId="090C4760" w14:textId="77777777" w:rsidR="004D7948" w:rsidRDefault="004D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8EB04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범죄피해자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보호법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2B"/>
    <w:rsid w:val="000A3D5C"/>
    <w:rsid w:val="004D7948"/>
    <w:rsid w:val="008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49BAA"/>
  <w14:defaultImageDpi w14:val="0"/>
  <w15:docId w15:val="{1520A4A2-F0F0-4272-9129-35E20DE9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2883</Words>
  <Characters>16436</Characters>
  <Application>Microsoft Office Word</Application>
  <DocSecurity>0</DocSecurity>
  <Lines>136</Lines>
  <Paragraphs>38</Paragraphs>
  <ScaleCrop>false</ScaleCrop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임</dc:creator>
  <cp:keywords/>
  <dc:description/>
  <cp:lastModifiedBy>재환 임</cp:lastModifiedBy>
  <cp:revision>2</cp:revision>
  <dcterms:created xsi:type="dcterms:W3CDTF">2025-07-01T10:34:00Z</dcterms:created>
  <dcterms:modified xsi:type="dcterms:W3CDTF">2025-07-01T10:34:00Z</dcterms:modified>
</cp:coreProperties>
</file>