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1 — SELECCIÓN JUSTIFICADA DEL AGENTE</w:t>
      </w:r>
    </w:p>
    <w:p>
      <w:pPr>
        <w:pStyle w:val="Heading2"/>
      </w:pPr>
      <w:r>
        <w:t>Matriz de Decisión Ponderada y Análisis Comparativo</w:t>
      </w:r>
    </w:p>
    <w:p>
      <w:pPr>
        <w:pStyle w:val="ListBullet"/>
      </w:pPr>
      <w:r>
        <w:t>**Estudiantes (Pareja de trabajo):**</w:t>
      </w:r>
    </w:p>
    <w:p>
      <w:pPr>
        <w:pStyle w:val="ListBullet"/>
      </w:pPr>
      <w:r>
        <w:t>Jesús Andrés Pérez Fuentes (T00078491) — *TrafficFlow-Agent*</w:t>
      </w:r>
    </w:p>
    <w:p>
      <w:pPr>
        <w:pStyle w:val="ListBullet"/>
      </w:pPr>
      <w:r>
        <w:t>Cristian David Cardeño Gulloso (T00078446) — *SegmentIQ-Agent*</w:t>
      </w:r>
    </w:p>
    <w:p>
      <w:pPr>
        <w:pStyle w:val="ListBullet"/>
      </w:pPr>
      <w:r>
        <w:t>**Curso:** Inteligencia Artificial — Universidad Tecnológica de Bolívar (UTB)</w:t>
      </w:r>
    </w:p>
    <w:p>
      <w:pPr>
        <w:pStyle w:val="ListBullet"/>
      </w:pPr>
      <w:r>
        <w:t>**Docente:** Edwin Alexander Puertas Del Castillo</w:t>
      </w:r>
    </w:p>
    <w:p>
      <w:pPr>
        <w:pStyle w:val="ListBullet"/>
      </w:pPr>
      <w:r>
        <w:t>**Fecha:** Octubre de 2026</w:t>
      </w:r>
    </w:p>
    <w:p>
      <w:pPr>
        <w:pStyle w:val="ListBullet"/>
      </w:pPr>
      <w:r>
        <w:t>**Repositorio:** [https://github.com/Jxzus/TRAFFICFLOW-AGENT](https://github.com/Jxzus/TRAFFICFLOW-AGENT)</w:t>
      </w:r>
    </w:p>
    <w:p>
      <w:pPr>
        <w:pStyle w:val="Heading2"/>
      </w:pPr>
      <w:r>
        <w:t>1. Definición de Criterios y Ponderación Inicial (Paso 1)</w:t>
      </w:r>
    </w:p>
    <w:p>
      <w:pPr>
        <w:pStyle w:val="Heading2"/>
      </w:pPr>
      <w:r>
        <w:t>2. Matriz de Decisión Ponderada (Paso 2 y Paso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Criterio</w:t>
            </w:r>
          </w:p>
        </w:tc>
        <w:tc>
          <w:tcPr>
            <w:tcW w:type="dxa" w:w="1440"/>
          </w:tcPr>
          <w:p>
            <w:r>
              <w:t>Peso ($w$)</w:t>
            </w:r>
          </w:p>
        </w:tc>
        <w:tc>
          <w:tcPr>
            <w:tcW w:type="dxa" w:w="1440"/>
          </w:tcPr>
          <w:p>
            <w:r>
              <w:t>Agente A (TrafficFlow-Agent): puntaje (1–5)</w:t>
            </w:r>
          </w:p>
        </w:tc>
        <w:tc>
          <w:tcPr>
            <w:tcW w:type="dxa" w:w="1440"/>
          </w:tcPr>
          <w:p>
            <w:r>
              <w:t>Agente A: evidencia</w:t>
            </w:r>
          </w:p>
        </w:tc>
        <w:tc>
          <w:tcPr>
            <w:tcW w:type="dxa" w:w="1440"/>
          </w:tcPr>
          <w:p>
            <w:r>
              <w:t>Agente B (SegmentIQ-Agent): puntaje (1–5)</w:t>
            </w:r>
          </w:p>
        </w:tc>
        <w:tc>
          <w:tcPr>
            <w:tcW w:type="dxa" w:w="1440"/>
          </w:tcPr>
          <w:p>
            <w:r>
              <w:t>Agente B: evidencia</w:t>
            </w:r>
          </w:p>
        </w:tc>
      </w:tr>
      <w:tr>
        <w:tc>
          <w:tcPr>
            <w:tcW w:type="dxa" w:w="1440"/>
          </w:tcPr>
          <w:p>
            <w:r>
              <w:t>Viabilidad técnica</w:t>
            </w:r>
          </w:p>
        </w:tc>
        <w:tc>
          <w:tcPr>
            <w:tcW w:type="dxa" w:w="1440"/>
          </w:tcPr>
          <w:p>
            <w:r>
              <w:t>25 %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El equipo domina PyTorch y series temporales viales; la arquitectura Graph WaveNet y su entrenamiento ya cuentan con pipeline modular funcional.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K-Means y RFM son directos de implementar con Scikit-Learn, pero simular la retroalimentación de compra del cliente requiere modelar comportamiento humano estocástico complejo.</w:t>
            </w:r>
          </w:p>
        </w:tc>
      </w:tr>
      <w:tr>
        <w:tc>
          <w:tcPr>
            <w:tcW w:type="dxa" w:w="1440"/>
          </w:tcPr>
          <w:p>
            <w:r>
              <w:t>Disponibilidad de datos o entorno</w:t>
            </w:r>
          </w:p>
        </w:tc>
        <w:tc>
          <w:tcPr>
            <w:tcW w:type="dxa" w:w="1440"/>
          </w:tcPr>
          <w:p>
            <w:r>
              <w:t>20 %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Dataset benchmark abierto `METR-LA` disponible localmente (207 sensores, 34.272 registros de 5 min) junto con simulador sintético estocástico funcional (`TrafficEnvironment`).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Dataset público transaccional disponible (`Online Retail` de UCI), pero no cuenta con un simulador dinámico de interacción ni respuesta a campañas.</w:t>
            </w:r>
          </w:p>
        </w:tc>
      </w:tr>
      <w:tr>
        <w:tc>
          <w:tcPr>
            <w:tcW w:type="dxa" w:w="1440"/>
          </w:tcPr>
          <w:p>
            <w:r>
              <w:t>Medibilidad del desempeño</w:t>
            </w:r>
          </w:p>
        </w:tc>
        <w:tc>
          <w:tcPr>
            <w:tcW w:type="dxa" w:w="1440"/>
          </w:tcPr>
          <w:p>
            <w:r>
              <w:t>20 %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Medidas con fórmula matemática rigurosa (MAPE y MAE a 30 min) verificables objetivamente contra datos reales cada 5 min y probadas en 10 escenarios.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La meta SMART exige medir "+15% en tasa de respuesta a campañas comerciales en 3 meses", lo cual es inviable de probar experimentalmente sin un e-commerce real activo.</w:t>
            </w:r>
          </w:p>
        </w:tc>
      </w:tr>
      <w:tr>
        <w:tc>
          <w:tcPr>
            <w:tcW w:type="dxa" w:w="1440"/>
          </w:tcPr>
          <w:p>
            <w:r>
              <w:t>Complejidad de IA</w:t>
            </w:r>
          </w:p>
        </w:tc>
        <w:tc>
          <w:tcPr>
            <w:tcW w:type="dxa" w:w="1440"/>
          </w:tcPr>
          <w:p>
            <w:r>
              <w:t>15 %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Agente basado en modelo con aprendizaje: combina Graph WaveNet (convoluciones causales dilatadas + difusión adaptativa sobre grafos), $z$-scores históricos y recalibración continua por deriva.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Segmentación no supervisada tradicional (K-Means y RFM); opera más como un pipeline analítico mensual por lotes (batch ETL) que como un agente reactivo continuo percepción-acción.</w:t>
            </w:r>
          </w:p>
        </w:tc>
      </w:tr>
      <w:tr>
        <w:tc>
          <w:tcPr>
            <w:tcW w:type="dxa" w:w="1440"/>
          </w:tcPr>
          <w:p>
            <w:r>
              <w:t>Costo y recursos</w:t>
            </w:r>
          </w:p>
        </w:tc>
        <w:tc>
          <w:tcPr>
            <w:tcW w:type="dxa" w:w="1440"/>
          </w:tcPr>
          <w:p>
            <w:r>
              <w:t>10 %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 COP en APIs de pago; requiere cómputo local con PyTorch (ejecutable en CPU/GPU doméstica en pocos minutos gracias a su diseño compacto).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 COP en APIs; clustering K-Means corre en segundos en cualquier computador con requerimientos mínimos de memoria.</w:t>
            </w:r>
          </w:p>
        </w:tc>
      </w:tr>
      <w:tr>
        <w:tc>
          <w:tcPr>
            <w:tcW w:type="dxa" w:w="1440"/>
          </w:tcPr>
          <w:p>
            <w:r>
              <w:t>Valor del problema</w:t>
            </w:r>
          </w:p>
        </w:tc>
        <w:tc>
          <w:tcPr>
            <w:tcW w:type="dxa" w:w="1440"/>
          </w:tcPr>
          <w:p>
            <w:r>
              <w:t>10 %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Aborda una problemática crítica de interés público en ciudades colombianas (congestión vial urbana, tiempos de viaje, emisiones de $\text{CO}_2$ y control semafórico).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Solución comercialmente atractiva para focalizar presupuestos de mercadeo en retail, pero de beneficio circunscrito al ámbito privado corporativo.</w:t>
            </w:r>
          </w:p>
        </w:tc>
      </w:tr>
      <w:tr>
        <w:tc>
          <w:tcPr>
            <w:tcW w:type="dxa" w:w="1440"/>
          </w:tcPr>
          <w:p>
            <w:r>
              <w:t>Puntaje ponderado $S$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4.90</w:t>
            </w:r>
          </w:p>
        </w:tc>
        <w:tc>
          <w:tcPr>
            <w:tcW w:type="dxa" w:w="1440"/>
          </w:tcPr>
          <w:p>
            <w:r>
              <w:t>$S(A) = 0.25(5) + 0.20(5) + 0.20(5) + 0.15(5) + 0.10(4) + 0.10(5) = \mathbf{4.90}$</w:t>
            </w:r>
          </w:p>
        </w:tc>
        <w:tc>
          <w:tcPr>
            <w:tcW w:type="dxa" w:w="1440"/>
          </w:tcPr>
          <w:p>
            <w:r>
              <w:t>3.75</w:t>
            </w:r>
          </w:p>
        </w:tc>
        <w:tc>
          <w:tcPr>
            <w:tcW w:type="dxa" w:w="1440"/>
          </w:tcPr>
          <w:p>
            <w:r>
              <w:t>$S(B) = 0.25(4) + 0.20(4) + 0.20(3) + 0.15(3) + 0.10(5) + 0.10(4) = \mathbf{3.75}$</w:t>
            </w:r>
          </w:p>
        </w:tc>
      </w:tr>
    </w:tbl>
    <w:p>
      <w:pPr>
        <w:pStyle w:val="Heading2"/>
      </w:pPr>
      <w:r>
        <w:t>3. Análisis de Sensibilidad (Paso 4)</w:t>
      </w:r>
    </w:p>
    <w:p>
      <w:pPr>
        <w:pStyle w:val="Heading3"/>
      </w:pPr>
      <w:r>
        <w:t>Caso A: Incremento de peso (+10 puntos $\to w_1 = 35\%$)</w:t>
      </w:r>
    </w:p>
    <w:p>
      <w:pPr>
        <w:pStyle w:val="ListBullet"/>
      </w:pPr>
      <w:r>
        <w:t>$w_{\text{Viabilidad}} = 0.35$</w:t>
      </w:r>
    </w:p>
    <w:p>
      <w:pPr>
        <w:pStyle w:val="ListBullet"/>
      </w:pPr>
      <w:r>
        <w:t>Los demás criterios absorben el ajuste proporcional: $w_{\text{Datos}}=0.1733$, $w_{\text{Medibilidad}}=0.1733$, $w_{\text{Complejidad}}=0.1300$, $w_{\text{Costo}}=0.0867$, $w_{\text{Valor}}=0.0867$.</w:t>
      </w:r>
    </w:p>
    <w:p>
      <w:pPr>
        <w:pStyle w:val="ListBullet"/>
      </w:pPr>
      <w:r>
        <w:t>**Cálculo:**</w:t>
      </w:r>
    </w:p>
    <w:p>
      <w:pPr>
        <w:pStyle w:val="ListBullet"/>
      </w:pPr>
      <w:r>
        <w:t>**Resultado:** TrafficFlow-Agent mantiene una ventaja contundente de $+1.13$ puntos.</w:t>
      </w:r>
    </w:p>
    <w:p>
      <w:pPr>
        <w:pStyle w:val="Heading3"/>
      </w:pPr>
      <w:r>
        <w:t>Caso B: Reducción de peso (-10 puntos $\to w_1 = 15\%$)</w:t>
      </w:r>
    </w:p>
    <w:p>
      <w:pPr>
        <w:pStyle w:val="ListBullet"/>
      </w:pPr>
      <w:r>
        <w:t>$w_{\text{Viabilidad}} = 0.15$</w:t>
      </w:r>
    </w:p>
    <w:p>
      <w:pPr>
        <w:pStyle w:val="ListBullet"/>
      </w:pPr>
      <w:r>
        <w:t>Criterios restantes ajustados proporcionalmente: $w_{\text{Datos}}=0.2267$, $w_{\text{Medibilidad}}=0.2267$, $w_{\text{Complejidad}}=0.1700$, $w_{\text{Costo}}=0.1133$, $w_{\text{Valor}}=0.1133$.</w:t>
      </w:r>
    </w:p>
    <w:p>
      <w:pPr>
        <w:pStyle w:val="ListBullet"/>
      </w:pPr>
      <w:r>
        <w:t>**Cálculo:**</w:t>
      </w:r>
    </w:p>
    <w:p>
      <w:pPr>
        <w:pStyle w:val="ListBullet"/>
      </w:pPr>
      <w:r>
        <w:t>**Resultado:** TrafficFlow-Agent amplía su ventaja a $+1.17$ puntos.</w:t>
      </w:r>
    </w:p>
    <w:p>
      <w:pPr>
        <w:pStyle w:val="Heading2"/>
      </w:pPr>
      <w:r>
        <w:t>4. Redacción de la Justificación de Selección (Paso 5 — Máximo una página)</w:t>
      </w:r>
    </w:p>
    <w:p>
      <w:pPr>
        <w:pStyle w:val="ListBullet"/>
      </w:pPr>
      <w:r>
        <w:t>Percibe un entorno dinámico continuo cada 5 minutos.</w:t>
      </w:r>
    </w:p>
    <w:p>
      <w:pPr>
        <w:pStyle w:val="ListBullet"/>
      </w:pPr>
      <w:r>
        <w:t>Mantiene un estado interno enriquecido (grafo de conectividad vial y memoria de corto/largo plazo).</w:t>
      </w:r>
    </w:p>
    <w:p>
      <w:pPr>
        <w:pStyle w:val="ListBullet"/>
      </w:pPr>
      <w:r>
        <w:t>Pronostica a 30 minutos combinando redes neuronales espaciotemporales (Graph WaveNet) con perfiles históricos de $z$-score.</w:t>
      </w:r>
    </w:p>
    <w:p>
      <w:pPr>
        <w:pStyle w:val="ListBullet"/>
      </w:pPr>
      <w:r>
        <w:t>Actúa de forma cerrada sobre controladores semafóricos y paneles de información vial aplicando políticas de estabilización.</w:t>
      </w:r>
    </w:p>
    <w:p>
      <w:pPr>
        <w:pStyle w:val="ListBullet"/>
      </w:pPr>
      <w:r>
        <w:t>Aprende y se recalibra ante derivas conceptuales del tráfico cuando el componente de crítica detecta degradación del error.</w:t>
      </w:r>
    </w:p>
    <w:p>
      <w:pPr>
        <w:pStyle w:val="Heading3"/>
      </w:pPr>
      <w:r>
        <w:t>¿Qué se pierde al descartar SegmentIQ-Agent?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