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000"/>
        <w:jc w:val="center"/>
      </w:pPr>
      <w:r>
        <w:rPr>
          <w:rFonts w:ascii="黑体" w:cs="黑体" w:eastAsia="黑体" w:hAnsi="黑体"/>
          <w:b/>
          <w:bCs/>
          <w:sz w:val="44"/>
          <w:szCs w:val="44"/>
        </w:rPr>
        <w:t xml:space="preserve">国家自然科学基金申请书</w:t>
      </w:r>
    </w:p>
    <w:p>
      <w:pPr>
        <w:spacing w:after="200"/>
        <w:jc w:val="center"/>
      </w:pPr>
      <w:r>
        <w:rPr>
          <w:rFonts w:ascii="宋体" w:cs="宋体" w:eastAsia="宋体" w:hAnsi="宋体"/>
          <w:sz w:val="28"/>
          <w:szCs w:val="28"/>
        </w:rPr>
        <w:t xml:space="preserve">（地区科学基金项目）</w:t>
      </w:r>
    </w:p>
    <w:p>
      <w:pPr>
        <w:spacing w:after="300" w:before="1200"/>
        <w:jc w:val="center"/>
      </w:pPr>
      <w:r>
        <w:rPr>
          <w:rFonts w:ascii="黑体" w:cs="黑体" w:eastAsia="黑体" w:hAnsi="黑体"/>
          <w:b/>
          <w:bCs/>
          <w:sz w:val="28"/>
          <w:szCs w:val="28"/>
        </w:rPr>
        <w:t xml:space="preserve">广西道地壮药桂艾活性成分β-石竹烯靶向Nrf2通路</w:t>
      </w:r>
    </w:p>
    <w:p>
      <w:pPr>
        <w:spacing w:after="2000"/>
        <w:jc w:val="center"/>
      </w:pPr>
      <w:r>
        <w:rPr>
          <w:rFonts w:ascii="黑体" w:cs="黑体" w:eastAsia="黑体" w:hAnsi="黑体"/>
          <w:b/>
          <w:bCs/>
          <w:sz w:val="28"/>
          <w:szCs w:val="28"/>
        </w:rPr>
        <w:t xml:space="preserve">抑制缺血诱导的铁依赖性SIPS改善脑缺血再灌注损伤的机制研究</w:t>
      </w:r>
    </w:p>
    <w:p>
      <w:pPr>
        <w:pStyle w:val="Heading1"/>
        <w:spacing w:after="200" w:before="360"/>
      </w:pPr>
      <w:r>
        <w:rPr>
          <w:rFonts w:ascii="黑体" w:cs="黑体" w:eastAsia="黑体" w:hAnsi="黑体"/>
          <w:b/>
          <w:bCs/>
          <w:sz w:val="32"/>
          <w:szCs w:val="32"/>
        </w:rPr>
        <w:t xml:space="preserve">一、立项依据与研究内容</w:t>
      </w:r>
    </w:p>
    <w:p>
      <w:pPr>
        <w:pStyle w:val="Heading2"/>
        <w:spacing w:after="160" w:before="280"/>
      </w:pPr>
      <w:r>
        <w:rPr>
          <w:rFonts w:ascii="黑体" w:cs="黑体" w:eastAsia="黑体" w:hAnsi="黑体"/>
          <w:b/>
          <w:bCs/>
          <w:sz w:val="28"/>
          <w:szCs w:val="28"/>
        </w:rPr>
        <w:t xml:space="preserve">（一）国内外研究现状与进展</w:t>
      </w:r>
    </w:p>
    <w:p>
      <w:pPr>
        <w:pStyle w:val="Heading3"/>
        <w:spacing w:after="120" w:before="200"/>
      </w:pPr>
      <w:r>
        <w:rPr>
          <w:rFonts w:ascii="黑体" w:cs="黑体" w:eastAsia="黑体" w:hAnsi="黑体"/>
          <w:b/>
          <w:bCs/>
          <w:sz w:val="24"/>
          <w:szCs w:val="24"/>
        </w:rPr>
        <w:t xml:space="preserve">1. 脑缺血再灌注损伤的临床困境与病理机制复杂性</w:t>
      </w:r>
    </w:p>
    <w:p>
      <w:pPr>
        <w:spacing w:after="120" w:line="360"/>
        <w:ind w:firstLine="480"/>
        <w:jc w:val="both"/>
      </w:pPr>
      <w:r>
        <w:rPr>
          <w:rFonts w:ascii="宋体" w:cs="宋体" w:eastAsia="宋体" w:hAnsi="宋体"/>
          <w:b w:val="false"/>
          <w:bCs w:val="false"/>
          <w:sz w:val="24"/>
          <w:szCs w:val="24"/>
        </w:rPr>
        <w:t xml:space="preserve">脑卒中是全球范围内导致成人死亡和长期残疾的首要原因之一。在我国，脑卒中已成为首位致死和致残病因，每年新发病例超过200万，现存患者逾1300万，其中约70%的存活患者遗留不同程度的神经功能缺损，给家庭和社会带来沉重的疾病负担。急性缺血性脑卒中约占全部脑卒中的70%—80%，其治疗核心在于尽早恢复血流灌注。然而，静脉溶栓时间窗仅为发病后4.5小时，血管内治疗虽延长至6—24小时，但即便成功实现血管再通，仍有近半数患者预后不良，提示脑缺血再灌注损伤（cerebral ischemia-reperfusion injury, CIRI）是阻碍患者获益的关键因素。</w:t>
      </w:r>
    </w:p>
    <w:p>
      <w:pPr>
        <w:spacing w:after="120" w:line="360"/>
        <w:ind w:firstLine="480"/>
        <w:jc w:val="both"/>
      </w:pPr>
      <w:r>
        <w:rPr>
          <w:rFonts w:ascii="宋体" w:cs="宋体" w:eastAsia="宋体" w:hAnsi="宋体"/>
          <w:b w:val="false"/>
          <w:bCs w:val="false"/>
          <w:sz w:val="24"/>
          <w:szCs w:val="24"/>
        </w:rPr>
        <w:t xml:space="preserve">CIRI病理机制极为复杂，涉及氧化应激爆发、兴奋性毒性、神经炎症、血脑屏障破坏以及多种形式的调节性细胞死亡。这些病理过程相互交织、互为因果，形成复杂的损伤网络，使得单一靶点干预策略往往难以奏效。半暗带概念的提出为干预提供了理论框架——缺血核心区细胞发生快速坏死，而半暗带细胞虽受应激但仍维持膜完整性，具有可逆性。然而，随着再灌注时间延长，半暗带细胞可通过多种机制发生进行性死亡或进入功能异常状态。除经典的坏死、凋亡外，铁死亡（ferroptosis）、焦亡、坏死性凋亡等新型调节性细胞死亡方式在CIRI中的作用逐渐被揭示。与此同时，越来越多证据表明，半暗带中存在一类既未死亡、也未恢复正常的细胞群体，它们进入持续性应激状态，通过旁分泌效应影响周围微环境，阻碍神经修复。细胞衰老（cellular senescence）正是这种状态的典型代表。</w:t>
      </w:r>
    </w:p>
    <w:p>
      <w:pPr>
        <w:pStyle w:val="Heading3"/>
        <w:spacing w:after="120" w:before="200"/>
      </w:pPr>
      <w:r>
        <w:rPr>
          <w:rFonts w:ascii="黑体" w:cs="黑体" w:eastAsia="黑体" w:hAnsi="黑体"/>
          <w:b/>
          <w:bCs/>
          <w:sz w:val="24"/>
          <w:szCs w:val="24"/>
        </w:rPr>
        <w:t xml:space="preserve">2. 铁死亡：CIRI急性期神经元损伤的关键执行者</w:t>
      </w:r>
    </w:p>
    <w:p>
      <w:pPr>
        <w:spacing w:after="120" w:line="360"/>
        <w:ind w:firstLine="480"/>
        <w:jc w:val="both"/>
      </w:pPr>
      <w:r>
        <w:rPr>
          <w:rFonts w:ascii="宋体" w:cs="宋体" w:eastAsia="宋体" w:hAnsi="宋体"/>
          <w:b w:val="false"/>
          <w:bCs w:val="false"/>
          <w:sz w:val="24"/>
          <w:szCs w:val="24"/>
        </w:rPr>
        <w:t xml:space="preserve">铁死亡是Stockwell团队于2012年正式命名的一种铁依赖性、脂质过氧化驱动的调节性细胞死亡方式，其形态学、生化和遗传学特征均区别于凋亡、坏死和自噬[4]。铁死亡的核心机制是细胞抗氧化防御系统失能，导致含多不饱和脂肪酸的磷脂发生毒性过氧化产物大量堆积，最终破坏质膜完整性引发细胞死亡。其调控涉及三大核心通路的协同失衡：System Xc⁻/GPX4抗氧化轴、ACSL4/LPCAT3脂质重塑轴以及铁代谢调控轴。GPX4是目前已知唯一能直接还原磷脂氢过氧化物的酶，被视为铁死亡的核心守门分子；System Xc⁻通过摄取胱氨酸维持GSH合成，为GPX4提供还原当量；ACSL4催化多不饱和脂肪酸掺入膜磷脂，决定细胞对铁死亡的敏感性；铁代谢紊乱导致的游离铁升高则为Fenton反应提供催化剂，是铁死亡发生的必要条件[5]。</w:t>
      </w:r>
    </w:p>
    <w:p>
      <w:pPr>
        <w:spacing w:after="120" w:line="360"/>
        <w:ind w:firstLine="480"/>
        <w:jc w:val="both"/>
      </w:pPr>
      <w:r>
        <w:rPr>
          <w:rFonts w:ascii="宋体" w:cs="宋体" w:eastAsia="宋体" w:hAnsi="宋体"/>
          <w:b w:val="false"/>
          <w:bCs w:val="false"/>
          <w:sz w:val="24"/>
          <w:szCs w:val="24"/>
        </w:rPr>
        <w:t xml:space="preserve">近年来，铁死亡在CIRI中的作用得到广泛验证。多项独立研究表明，脑缺血再灌注后缺血脑组织出现典型的铁死亡特征，包括游离铁升高、GSH耗竭、GPX4活性下降、4-HNE和MDA堆积以及线粒体皱缩等[7,13]。胡晴雯等[3]在大鼠MCAO/R模型中系统证实了铁死亡的存在：再灌注后不同时间点铁死亡标志物呈时间依赖性升高，透射电镜观察到缺血皮层神经元线粒体皱缩、膜密度增高等铁死亡典型形态学特征，铁死亡抑制剂DFO可显著减小梗死体积、改善神经功能评分。药理学干预证实了铁死亡的因果作用：Ferrostatin-1、Liproxstatin-1及铁螯合剂DFO均可显著减小MCAO模型梗死体积、改善神经功能评分。细胞特异性研究进一步揭示了铁死亡的复杂性——神经元因高代谢率和高多不饱和脂肪酸含量对铁死亡高度敏感，星形胶质细胞、小胶质细胞及血管内皮细胞的铁死亡也参与病理进程。然而，铁死亡在CIRI中的作用并非仅限于急性期细胞杀伤——亚致死剂量的铁死亡应激是否会触发细胞进入其他应激状态（如细胞衰老），目前尚缺乏系统研究。</w:t>
      </w:r>
    </w:p>
    <w:p>
      <w:pPr>
        <w:pStyle w:val="Heading3"/>
        <w:spacing w:after="120" w:before="200"/>
      </w:pPr>
      <w:r>
        <w:rPr>
          <w:rFonts w:ascii="黑体" w:cs="黑体" w:eastAsia="黑体" w:hAnsi="黑体"/>
          <w:b/>
          <w:bCs/>
          <w:sz w:val="24"/>
          <w:szCs w:val="24"/>
        </w:rPr>
        <w:t xml:space="preserve">3. 细胞衰老：缺血半暗带慢性化的重要推手</w:t>
      </w:r>
    </w:p>
    <w:p>
      <w:pPr>
        <w:spacing w:after="120" w:line="360"/>
        <w:ind w:firstLine="480"/>
        <w:jc w:val="both"/>
      </w:pPr>
      <w:r>
        <w:rPr>
          <w:rFonts w:ascii="宋体" w:cs="宋体" w:eastAsia="宋体" w:hAnsi="宋体"/>
          <w:b w:val="false"/>
          <w:bCs w:val="false"/>
          <w:sz w:val="24"/>
          <w:szCs w:val="24"/>
        </w:rPr>
        <w:t xml:space="preserve">细胞衰老是指细胞在应激因素作用下退出细胞周期，进入稳定的增殖停滞状态，同时伴随广泛的基因表达和代谢重编程，形成特征性的衰老相关分泌表型（senescence-associated secretory phenotype, SASP）[6]。经典的细胞衰老包括端粒依赖性的复制性衰老和应激诱导的早熟性衰老（stress-induced premature senescence, SIPS）。前者与细胞分裂次数相关，主要发生于生理性衰老；后者则可由DNA损伤、氧化应激、癌基因激活、炎症因子等多种急性应激在数小时至数天内快速触发，其表型与复制性衰老高度相似但发生机制和时间尺度截然不同。SIPS的核心分子通路包括p53/p21CIP1轴和p16INK4a/Rb轴，二者共同驱动细胞周期停滞的建立和维持。SASP是衰老细胞最具病理影响力的特征，其成分包括促炎细胞因子、趋化因子、生长因子、基质金属蛋白酶等，通过旁分泌和内分泌方式重塑组织微环境。</w:t>
      </w:r>
    </w:p>
    <w:p>
      <w:pPr>
        <w:spacing w:after="120" w:line="360"/>
        <w:ind w:firstLine="480"/>
        <w:jc w:val="both"/>
      </w:pPr>
      <w:r>
        <w:rPr>
          <w:rFonts w:ascii="宋体" w:cs="宋体" w:eastAsia="宋体" w:hAnsi="宋体"/>
          <w:b w:val="false"/>
          <w:bCs w:val="false"/>
          <w:sz w:val="24"/>
          <w:szCs w:val="24"/>
        </w:rPr>
        <w:t xml:space="preserve">传统观点认为细胞衰老主要与机体老化和年龄相关疾病有关，在急性损伤中作用有限。然而，近年来这一观念正在被修正。在脑缺血领域，越来越多证据表明，缺血性损伤可在梗死周围半暗带诱导多种细胞类型发生衰老样改变。啮齿类动物MCAO模型中，再灌注后数天内即可在半暗带检测到SA-β-gal阳性细胞，伴随p21和p16表达上调、γH2AX焦点增加等衰老标志物激活[8]。发生衰老的细胞类型包括神经元、星形胶质细胞、小胶质细胞及血管内皮细胞，提示缺血性应激诱导的衰老具有细胞普遍性。道吉吉等[16]在D-半乳糖诱导的神经元衰老模型中证实，铁死亡相关分子（Nrf2、SLC7A11、GPX4下调，TFRC上调）与衰老标志物（p53、p21、p16上调）共存，铁死亡诱导剂Erastin可进一步加剧衰老表型，而靶向ErbB4受体的小分子激动剂可通过Akt/Nrf2通路同时抑制铁死亡和衰老。缺血诱导的衰老细胞并非被动旁观者，而是通过多种机制积极参与病理进程：SASP促炎因子招募免疫细胞浸润、激活胶质细胞形成慢性炎症微环境；基质金属蛋白酶降解细胞外基质、破坏血脑屏障；衰老的传播效应扩大损伤范围；衰老细胞丧失正常生理功能，阻碍突触重塑和神经发生。从干预角度，衰老细胞清除剂（senolytics）在多种脑损伤模型中显示出改善功能预后的效果，为靶向衰老的治疗策略提供了原理验证。然而，脑缺血后细胞衰老的触发因素和上游驱动机制尚未完全阐明，特别是氧化应激在衰老启动中的具体作用形式和分子通路仍有待深入揭示。</w:t>
      </w:r>
    </w:p>
    <w:p>
      <w:pPr>
        <w:pStyle w:val="Heading3"/>
        <w:spacing w:after="120" w:before="200"/>
      </w:pPr>
      <w:r>
        <w:rPr>
          <w:rFonts w:ascii="黑体" w:cs="黑体" w:eastAsia="黑体" w:hAnsi="黑体"/>
          <w:b/>
          <w:bCs/>
          <w:sz w:val="24"/>
          <w:szCs w:val="24"/>
        </w:rPr>
        <w:t xml:space="preserve">4. 铁死亡与细胞衰老的交汇：铁衰老概念及其在CIRI中的研究空白</w:t>
      </w:r>
    </w:p>
    <w:p>
      <w:pPr>
        <w:spacing w:after="120" w:line="360"/>
        <w:ind w:firstLine="480"/>
        <w:jc w:val="both"/>
      </w:pPr>
      <w:r>
        <w:rPr>
          <w:rFonts w:ascii="宋体" w:cs="宋体" w:eastAsia="宋体" w:hAnsi="宋体"/>
          <w:b w:val="false"/>
          <w:bCs w:val="false"/>
          <w:sz w:val="24"/>
          <w:szCs w:val="24"/>
        </w:rPr>
        <w:t xml:space="preserve">铁死亡与细胞衰老并非两个独立的病理过程，二者存在密切的交互作用和共同的上游驱动因素——氧化应激和铁代谢紊乱。近年来，研究者开始将这两个领域联系起来，提出了“铁衰老”（ferro-aging/ferro-senescence）的概念框架。2026年，Liu等[1]在Cell Metabolism发表的灵长类动物研究为铁衰老概念提供了系统性体内证据：随着灵长类年龄增长，肝脏和血清中铁水平逐渐升高，伴随ACSL4表达上调和脂质过氧化产物积累；铁过载可通过ACSL4介导的脂质过氧化通路驱动肝细胞和造血干细胞衰老，形成“铁代谢紊乱→脂质过氧化→细胞衰老”的完整级联；反之，抑制ACSL4或敲除铁调素调控基因可减轻衰老表型、延长健康寿命。该研究首次在高等哺乳动物中确立了ferro-aging作为生理性衰老驱动因素的地位，其时间尺度为月至年级，属于慢性衰老过程。</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4-羟基壬烯醛（4-hydroxynonenal, 4-HNE）是ω-6多不饱和脂肪酸过氧化的主要毒性醛类产物之一，具有高度亲电性，可与蛋白质的半胱氨酸、组氨酸和赖氨酸残基发生Michael加成反应，形成稳定的蛋白质羰基化修饰[14]。4-HNE在细胞内具有浓度依赖性的生物学效应：低浓度时作为信号分子参与多种通路调控，高浓度时则引发细胞毒性和细胞死亡。在铁死亡过程中，4-HNE是脂质过氧化的重要下游产物和标志物，其水平与铁死亡严重程度正相关。Monroe等[2]在Aging Cell发表的研究系统证实，4-HNE等脂质过氧化产物可在人成纤维细胞和小鼠脂肪干细胞中剂量依赖性地诱导衰老表型，包括SA-β-gal阳性率升高、γH2AX焦点积累、p53磷酸化增强、p21表达上调及SASP因子分泌增加。机制研究表明，4-HNE主要通过诱导氧化性DNA损伤、激活DNA损伤应答（DDR）通路导致p53 Ser15磷酸化，进而启动p21介导的细胞周期阻滞——这是一种间接的p53激活机制，而非4-HNE直接共价修饰p53蛋白所致。</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基于上述文献线索，我们提出一个经过修正的4-HNE-p53-SLC7A11正反馈环路假说：铁死亡产生的4-HNE首先通过Keap1修饰激活Nrf2防御通路；当4-HNE持续积累超过防御阈值时，转而通过氧化性DNA损伤激活DDR-p53-p21通路驱动细胞衰老；同时，活化的p53可转录抑制SLC7A11，进一步削弱GSH合成和抗氧化防御，加剧脂质过氧化和4-HNE生成，形成“铁死亡→4-HNE→p53→SLC7A11↓→更多铁死亡”的正反馈环路，最终将亚致死性氧化应激转化为持续性的衰老表型。然而，目前关于铁死亡驱动细胞衰老的研究主要集中于肿瘤细胞和体外细胞系，在神经系统特别是缺血性脑损伤中的研究极为有限。CIRI半暗带中是否确实存在铁依赖性SIPS？其时空分布特征如何？4-HNE作用的机制选择性如何决定细胞命运？4-HNE-p53-SLC7A11分子轴是否在其中发挥关键作用？这些问题目前均缺乏直接的实验证据，有待系统研究加以阐明。</w:t>
      </w:r>
    </w:p>
    <w:p>
      <w:pPr>
        <w:pStyle w:val="Heading3"/>
        <w:spacing w:after="120" w:before="200"/>
      </w:pPr>
      <w:r>
        <w:rPr>
          <w:rFonts w:ascii="黑体" w:cs="黑体" w:eastAsia="黑体" w:hAnsi="黑体"/>
          <w:b/>
          <w:bCs/>
          <w:sz w:val="24"/>
          <w:szCs w:val="24"/>
        </w:rPr>
        <w:t xml:space="preserve">5. Nrf2通路：铁死亡防御与衰老抑制的共同枢纽</w:t>
      </w:r>
    </w:p>
    <w:p>
      <w:pPr>
        <w:spacing w:after="120" w:line="360"/>
        <w:ind w:firstLine="480"/>
        <w:jc w:val="both"/>
      </w:pPr>
      <w:r>
        <w:rPr>
          <w:rFonts w:ascii="宋体" w:cs="宋体" w:eastAsia="宋体" w:hAnsi="宋体"/>
          <w:b w:val="false"/>
          <w:bCs w:val="false"/>
          <w:sz w:val="24"/>
          <w:szCs w:val="24"/>
        </w:rPr>
        <w:t xml:space="preserve">核因子E2相关因子2（nuclear factor erythroid 2-related factor 2, Nrf2）是细胞抗氧化反应的主调控因子，属于碱性亮氨酸拉链转录因子家族。生理状态下，Nrf2被Keap1锚定在胞浆中，经Cullin-3介导的泛素-蛋白酶体途径快速降解，保持较低基础水平。当细胞暴露于氧化应激或亲电试剂时，Keap1关键半胱氨酸残基发生共价修饰，导致构象改变，丧失对Nrf2的泛素连接酶活性。新生的Nrf2逃脱降解并转位入核，与小Maf蛋白形成异二聚体，结合于抗氧化反应元件（ARE）保守序列，启动下游数百个靶基因转录。Nrf2靶基因涵盖抗氧化酶、解毒酶、物质代谢转运、蛋白质稳态、铁代谢调控等多个功能类别，共同构成细胞的综合性防御体系。</w:t>
      </w:r>
    </w:p>
    <w:p>
      <w:pPr>
        <w:spacing w:after="120" w:line="360"/>
        <w:ind w:firstLine="480"/>
        <w:jc w:val="both"/>
      </w:pPr>
      <w:r>
        <w:rPr>
          <w:rFonts w:ascii="宋体" w:cs="宋体" w:eastAsia="宋体" w:hAnsi="宋体"/>
          <w:b w:val="false"/>
          <w:bCs w:val="false"/>
          <w:sz w:val="24"/>
          <w:szCs w:val="24"/>
        </w:rPr>
        <w:t xml:space="preserve">Nrf2通路是铁死亡的重要防御机制。Nrf2可通过多层面调控抑制铁死亡发生：在抗氧化层面，上调GPX4表达直接增强磷脂过氧化物清除能力，上调SLC7A11促进胱氨酸摄取和GSH合成，间接维持GPX4活性；在铁代谢层面，转录激活铁蛋白（FTH1/FTL）促进游离铁螯合储存，上调铁输出蛋白FPN1降低不稳定铁池水平，下调TFR1减少铁摄取；在脂质代谢层面，调控ACSL4等脂质重塑相关酶表达，影响膜磷脂脂肪酸组成，降低铁死亡敏感性[12]。胡晴雯等[3]在大鼠MCAO/R模型中证实，BCP可显著增加Nrf2核转位，上调HO-1和GPX4表达，抑制ACSL4，从而减轻铁死亡和脑损伤；Nrf2抑制剂ML385可显著逆转BCP的神经保护效应，直接证明了Nrf2通路的关键作用。</w:t>
      </w:r>
    </w:p>
    <w:p>
      <w:pPr>
        <w:spacing w:after="120" w:line="360"/>
        <w:ind w:firstLine="480"/>
        <w:jc w:val="both"/>
      </w:pPr>
      <w:r>
        <w:rPr>
          <w:rFonts w:ascii="宋体" w:cs="宋体" w:eastAsia="宋体" w:hAnsi="宋体"/>
          <w:b w:val="false"/>
          <w:bCs w:val="false"/>
          <w:sz w:val="24"/>
          <w:szCs w:val="24"/>
        </w:rPr>
        <w:t xml:space="preserve">Nrf2同样是抑制细胞衰老和SASP的关键因子。多项研究表明，Nrf2的表达和活性随年龄增长而下降，这种下降与衰老表型出现和年龄相关疾病发生发展密切相关。在细胞水平，Nrf2缺失或功能低下可加速氧化应激诱导的SIPS，表现为SA-β-gal阳性率升高、端粒缩短加速、SASP分泌增强；反之，Nrf2激活则可延缓多种细胞类型的衰老进程，减轻SASP相关炎症反应。道吉吉等[16]在D-半乳糖诱导的神经元衰老模型中证实，Nrf2抑制剂可显著削弱ErbB4激动剂对SLC7A11和GPX4的上调作用，同时阻碍其逆转神经元衰老的效果，直接证明了Nrf2在铁死亡—衰老调控轴中的核心地位。鉴于Nrf2在铁死亡防御和衰老抑制中的双重核心作用，我们认为Nrf2通路是理想的干预靶点——激活Nrf2有望同时阻断铁死亡的急性期损伤和铁依赖性SIPS的慢性期损害，实现对CIRI病理进程的双阶段干预。</w:t>
      </w:r>
    </w:p>
    <w:p>
      <w:pPr>
        <w:pStyle w:val="Heading3"/>
        <w:spacing w:after="120" w:before="200"/>
      </w:pPr>
      <w:r>
        <w:rPr>
          <w:rFonts w:ascii="黑体" w:cs="黑体" w:eastAsia="黑体" w:hAnsi="黑体"/>
          <w:b/>
          <w:bCs/>
          <w:sz w:val="24"/>
          <w:szCs w:val="24"/>
        </w:rPr>
        <w:t xml:space="preserve">6. 壮瑶药艾叶/桂艾及其活性成分β-石竹烯：从民族药经验到现代药理机制</w:t>
      </w:r>
    </w:p>
    <w:p>
      <w:pPr>
        <w:spacing w:after="120" w:line="360"/>
        <w:ind w:firstLine="480"/>
        <w:jc w:val="both"/>
      </w:pPr>
      <w:r>
        <w:rPr>
          <w:rFonts w:ascii="宋体" w:cs="宋体" w:eastAsia="宋体" w:hAnsi="宋体"/>
          <w:b w:val="false"/>
          <w:bCs w:val="false"/>
          <w:sz w:val="24"/>
          <w:szCs w:val="24"/>
        </w:rPr>
        <w:t xml:space="preserve">艾叶（Artemisia argyi Lévl. et Vant.）为菊科蒿属植物的干燥叶，是我国传统中药和广西道地壮瑶药材。艾叶入药历史悠久，始载于《名医别录》，其性温，味辛、苦，归肝、脾、肾经，具有温经止血、散寒止痛、外用祛湿止痒等功效。在壮瑶医药理论体系中，艾叶具有独特地位：壮语称“挨”，瑶语称“各艾”，被视为“通龙路火路、除风毒寒毒、逐湿邪”之要药。壮医“三道两路”理论认为，脑（巧坞）为神明之府，龙路火路网络密布；中风（麻邦）是由于风毒、火毒、痧毒循龙路火路上攻巧坞，致三道两路不通、气血失衡、天地人三气不能同步。艾叶的“通龙路火路、除毒邪”功效恰中中风病病机要害，因此在壮瑶医临床中常用于麻痹、头痛、眩晕等脑病防治。</w:t>
      </w:r>
    </w:p>
    <w:p>
      <w:pPr>
        <w:spacing w:after="120" w:line="360"/>
        <w:ind w:firstLine="480"/>
        <w:jc w:val="both"/>
      </w:pPr>
      <w:r>
        <w:rPr>
          <w:rFonts w:ascii="宋体" w:cs="宋体" w:eastAsia="宋体" w:hAnsi="宋体"/>
          <w:b w:val="false"/>
          <w:bCs w:val="false"/>
          <w:sz w:val="24"/>
          <w:szCs w:val="24"/>
        </w:rPr>
        <w:t xml:space="preserve">桂艾是产于广西地区的艾叶道地药材，因独特的地理气候条件而具有挥发油含量高、活性成分丰富的特点。桂艾挥发油是艾叶的主要药效物质基础，得油率约为0.45%—1.2%，已从中分离鉴定出数十种化学成分，主要包括倍半萜类、单萜类、黄酮类及酚酸类化合物，其中β-石竹烯（β-caryophyllene, BCP）含量可高达15%—35%，是桂艾挥发油中最重要的倍半萜成分之一。BCP是一种天然存在的双环倍半萜化合物，已被美国FDA和欧洲食品安全局批准为食品添加剂，安全性极高。</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现代药理学研究揭示了BCP的多种生物活性，包括抗炎、抗氧化、镇痛、抗肿瘤、保肝、护胃以及神经保护等。其中，抗炎和抗氧化活性是BCP最受关注的药理作用。BCP是大麻素CB2受体的选择性激动剂，可通过CB2受体依赖的信号通路发挥抗炎和免疫调节作用。在抗氧化方面，近年来研究发现BCP可显著激活Nrf2/ARE信号通路，上调多种抗氧化酶和II相解毒酶的表达。在神经系统疾病领域，BCP的神经保护作用已在多种模型中得到验证。刘京东等[17]报道BCP通过抑制Notch1/NF-κB信号轴减少炎性因子释放，减轻大鼠脑缺血再灌注损伤；左天睿等[18]证实BCP通过激活HSF1/HSP70通路减轻氧化应激和细胞凋亡。胡晴雯等[3]在Phytomedicine发表的研究明确证实，BCP可通过激活Nrf2/HO-1通路减轻大鼠脑缺血再灌注损伤：BCP预处理可剂量依赖性地减小MCAO/R模型梗死体积、降低脑水肿程度、改善神经功能评分，同时伴随脑组织中Nrf2核转位增加、HO-1表达上调及氧化应激指标改善；而Nrf2抑制剂ML385可显著逆转BCP的神经保护效应。药代动力学研究表明，BCP具有良好的血脑屏障穿透能力，口服给药后可迅速进入脑组织并维持有效浓度，为其中枢神经系统疾病治疗应用提供了药代动力学基础。</w:t>
      </w:r>
    </w:p>
    <w:p>
      <w:pPr>
        <w:spacing w:after="120" w:line="360"/>
        <w:ind w:firstLine="480"/>
        <w:jc w:val="both"/>
      </w:pPr>
      <w:r>
        <w:rPr>
          <w:rFonts w:ascii="宋体" w:cs="宋体" w:eastAsia="宋体" w:hAnsi="宋体"/>
          <w:b w:val="false"/>
          <w:bCs w:val="false"/>
          <w:sz w:val="24"/>
          <w:szCs w:val="24"/>
        </w:rPr>
        <w:t xml:space="preserve">近年来，BCP与铁死亡的关系开始受到关注。有研究报道BCP可通过激活Nrf2通路抑制肝纤维化模型中的铁死亡[15]，在顺铂耳毒性模型中也观察到BCP对铁死亡的抑制作用[16]。这些研究为BCP调控铁死亡提供了初步实验支持。然而，BCP是否能够通过激活Nrf2通路同时阻断铁死亡和铁依赖性SIPS，是否能够通过干预铁死亡—衰老正反馈环路改善CIRI远期预后，目前尚未见文献报道。考虑到BCP明确的Nrf2激活活性、良好的血脑屏障穿透性以及极高的安全性，系统研究BCP对铁依赖性SIPS的干预作用及其分子机制，具有重要的理论价值和转化潜力。</w:t>
      </w:r>
    </w:p>
    <w:p>
      <w:pPr>
        <w:pStyle w:val="Heading3"/>
        <w:spacing w:after="120" w:before="200"/>
      </w:pPr>
      <w:r>
        <w:rPr>
          <w:rFonts w:ascii="黑体" w:cs="黑体" w:eastAsia="黑体" w:hAnsi="黑体"/>
          <w:b/>
          <w:bCs/>
          <w:sz w:val="24"/>
          <w:szCs w:val="24"/>
        </w:rPr>
        <w:t xml:space="preserve">7. 本项目拟解决的核心科学问题及研究意义</w:t>
      </w:r>
    </w:p>
    <w:p>
      <w:pPr>
        <w:spacing w:after="120" w:line="360"/>
        <w:ind w:firstLine="480"/>
        <w:jc w:val="both"/>
      </w:pPr>
      <w:r>
        <w:rPr>
          <w:rFonts w:ascii="宋体" w:cs="宋体" w:eastAsia="宋体" w:hAnsi="宋体"/>
          <w:b w:val="false"/>
          <w:bCs w:val="false"/>
          <w:sz w:val="24"/>
          <w:szCs w:val="24"/>
        </w:rPr>
        <w:t xml:space="preserve">综上所述，脑缺血再灌注损伤是急性缺血性脑卒中治疗中的重大临床难题，其病理机制涉及急性期多种调节性细胞死亡和慢性期神经炎症与修复障碍。铁死亡作为急性期神经元死亡的关键形式已得到广泛认可；细胞衰老则被认为是缺血半暗带慢性化的重要推手。然而，二者之间的因果联系——即铁死亡是否以及如何驱动缺血半暗带中的细胞衰老（铁依赖性SIPS）——目前尚不清楚。特别是，4-HNE作为脂质过氧化的核心产物，其作用的机制选择性（优先激活Keap1-Nrf2防御还是转向p53介导的衰老）是决定亚致死铁死亡压力最终细胞命运的关键科学问题。</w:t>
      </w:r>
    </w:p>
    <w:p>
      <w:pPr>
        <w:spacing w:after="120" w:line="360"/>
        <w:ind w:firstLine="480"/>
        <w:jc w:val="both"/>
      </w:pPr>
      <w:r>
        <w:rPr>
          <w:rFonts w:ascii="宋体" w:cs="宋体" w:eastAsia="宋体" w:hAnsi="宋体"/>
          <w:b w:val="false"/>
          <w:bCs w:val="false"/>
          <w:sz w:val="24"/>
          <w:szCs w:val="24"/>
        </w:rPr>
        <w:t xml:space="preserve">基于文献线索和我们前期的网络药理学研究，我们推测：CIRI半暗带中存在亚致死性铁死亡压力驱动的铁依赖性SIPS；4-HNE作用存在时间依赖性的机制转换——早期激活Keap1-Nrf2防御，晚期超过阈值后通过DDR-p53通路驱动衰老；4-HNE-p53-SLC7A11正反馈环路是铁依赖性SIPS维持和放大的核心分子机制；Nrf2作为铁死亡防御与衰老抑制的共同枢纽，是理想的干预靶点；广西道地壮药桂艾的活性成分β-石竹烯可通过激活Nrf2通路，同时阻断铁死亡急性期损伤和铁依赖性SIPS慢性损害，从而改善CIRI远期预后。</w:t>
      </w:r>
    </w:p>
    <w:p>
      <w:pPr>
        <w:spacing w:after="120" w:line="360"/>
        <w:ind w:firstLine="480"/>
        <w:jc w:val="both"/>
      </w:pPr>
      <w:r>
        <w:rPr>
          <w:rFonts w:ascii="宋体" w:cs="宋体" w:eastAsia="宋体" w:hAnsi="宋体"/>
          <w:b w:val="false"/>
          <w:bCs w:val="false"/>
          <w:sz w:val="24"/>
          <w:szCs w:val="24"/>
        </w:rPr>
        <w:t xml:space="preserve">本研究的理论意义在于：提出并验证缺血诱导的铁依赖性SIPS这一新型病理概念，丰富对CIRI慢性化机制的认识；阐明4-HNE作用的机制选择性及其在铁依赖性SIPS启动中的开关作用，为铁死亡驱动衰老的分子机制提供新的视角。实践意义在于：阐明壮瑶药桂艾活性成分β-石竹烯的神经保护新机制，为开发以铁衰老为靶点的脑卒中治疗药物提供理论依据和先导化合物，也为民族医药现代化研究提供可借鉴的研究范式。</w:t>
      </w:r>
    </w:p>
    <w:p>
      <w:pPr>
        <w:pStyle w:val="Heading2"/>
        <w:spacing w:after="160" w:before="280"/>
      </w:pPr>
      <w:r>
        <w:rPr>
          <w:rFonts w:ascii="黑体" w:cs="黑体" w:eastAsia="黑体" w:hAnsi="黑体"/>
          <w:b/>
          <w:bCs/>
          <w:sz w:val="28"/>
          <w:szCs w:val="28"/>
        </w:rPr>
        <w:t xml:space="preserve">（二）项目组网药研究基础</w:t>
      </w:r>
    </w:p>
    <w:p>
      <w:pPr>
        <w:spacing w:after="120" w:line="360"/>
        <w:ind w:firstLine="480"/>
        <w:jc w:val="both"/>
      </w:pPr>
      <w:r>
        <w:rPr>
          <w:rFonts w:ascii="宋体" w:cs="宋体" w:eastAsia="宋体" w:hAnsi="宋体"/>
          <w:b w:val="false"/>
          <w:bCs w:val="false"/>
          <w:sz w:val="24"/>
          <w:szCs w:val="24"/>
        </w:rPr>
        <w:t xml:space="preserve">为验证上述科学假说，项目组前期整合多维度公开数据集与生物信息学方法，系统开展了脑缺血—铁衰老—石竹烯的网络药理学与机器学习研究，完成了从疾病特征识别到药物靶点预测的全链条计算分析，为后续实验验证奠定了坚实的前期基础。</w:t>
      </w:r>
    </w:p>
    <w:p>
      <w:pPr>
        <w:pStyle w:val="Heading3"/>
        <w:spacing w:after="120" w:before="200"/>
      </w:pPr>
      <w:r>
        <w:rPr>
          <w:rFonts w:ascii="黑体" w:cs="黑体" w:eastAsia="黑体" w:hAnsi="黑体"/>
          <w:b/>
          <w:bCs/>
          <w:sz w:val="24"/>
          <w:szCs w:val="24"/>
        </w:rPr>
        <w:t xml:space="preserve">1. 多数据集铁衰老转录特征的识别与验证</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本研究中铁衰老基因集的构建遵循“多源整合、严格筛选、功能验证”的原则，具体流程如下：首先，从FerrDb数据库获取经文献curation的铁死亡相关基因（驱动基因和抑制基因），从CellAge数据库获取细胞衰老相关基因（Senescence-Associated Genes, SAGs），从Gene Ontology数据库获取“cellular response to oxidative stress”“iron ion homeostasis”“lipid peroxidation”等功能条目下的基因。其次，取铁死亡基因集与细胞衰老基因集的交集，获得“双身份基因”；进一步通过文本挖掘PubMed文献中同时提及“ferroptosis”和“senescence”的基因，补充入基因集。第三，通过STRING v12.0蛋白质相互作用网络分析，保留在网络中具有至少3个连接的基因，去除孤立节点，确保基因集的功能连通性。最终获得96个铁衰老相关基因，涵盖铁代谢调控、脂质过氧化与抗氧化防御、DNA损伤与衰老调控以及SASP相关因子四大功能类别。基因集的完整列表见附录1。</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本研究整合了4个脑缺血时间进程数据集——GSE104036（小鼠MCAO，RNA-seq，27样本，0—72h）、GSE16561（人缺血性脑卒中，Illumina微阵列，63样本）、GSE61616（大鼠MCAO，Affymetrix微阵列，15样本）及GSE97537（大鼠MCAO，Affymetrix微阵列，12样本）。采用单样本基因集富集分析（ssGSEA），基于Barbie等（Nature Protocols, 2009）[9]的秩加权富集统计算法，计算每个样本的铁死亡、细胞衰老及铁衰老（96基因集）评分。结果显示，在全部4个数据集中，铁衰老评分的疾病—对照效应量（Cohen’s d）均大于铁死亡评分和衰老评分，表明铁衰老基因集捕获的转录信号与缺血性脑损伤的关联最为紧密，在跨物种、跨平台中具有稳健性。</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为排除铁衰老评分仅仅是泛氧化应激信号的反映，我们进行了严格的置换检验：从全基因组中随机抽取与铁衰老基因集同等大小（96个）的基因集，重复1000次，计算每个随机基因集的ssGSEA评分与疾病状态的关联强度。结果显示，铁衰老基因集的疾病—对照效应量（Cohen’s d = 1.84）显著高于随机基因集的分布（随机集平均d = 0.32 ± 0.21），置换检验P = 0.001，表明铁衰老基因集捕获的疾病关联信号具有高度特异性，并非随机选择的氧化应激基因的泛化效应。</w:t>
      </w:r>
    </w:p>
    <w:p>
      <w:pPr>
        <w:spacing w:after="120" w:line="360"/>
        <w:jc w:val="both"/>
      </w:pPr>
      <w:r>
        <w:rPr>
          <w:rFonts w:ascii="宋体" w:cs="宋体" w:eastAsia="宋体" w:hAnsi="宋体"/>
          <w:b w:val="false"/>
          <w:bCs w:val="false"/>
          <w:sz w:val="24"/>
          <w:szCs w:val="24"/>
        </w:rPr>
        <w:t xml:space="default"/>
      </w:r>
    </w:p>
    <w:p>
      <w:pPr>
        <w:spacing w:after="120" w:line="360"/>
        <w:ind w:firstLine="480"/>
        <w:jc w:val="both"/>
      </w:pPr>
      <w:r>
        <w:rPr>
          <w:rFonts w:ascii="宋体" w:cs="宋体" w:eastAsia="宋体" w:hAnsi="宋体"/>
          <w:b w:val="false"/>
          <w:bCs w:val="false"/>
          <w:sz w:val="24"/>
          <w:szCs w:val="24"/>
        </w:rPr>
        <w:t xml:space="preserve">时序分析显示，铁死亡与铁衰老评分均在再灌注后6小时达到峰值，随后下降；而经典细胞衰老评分并未在后期时间点升高，反而在急性期至亚急性期呈下降趋势。这一发现不支持经典的“铁死亡上升→衰老上升→铁衰老过渡”序列模式。据此，本项目明确指出：当前基于转录组的铁衰老评分主要捕获的是铁死亡相关转录状态，而非经典意义上的衰老程序——评分中“衰老”成分的贡献主要来自p53/p21通路的早期激活（DNA损伤应答的即时反应），而非完全建立的衰老表型。因此，本项目将后续实验验证的核心定位为“铁死亡压力是否驱动细胞进入衰老状态”这一因果关系的证明，而非将转录组评分作为铁衰老存在的直接证据。</w:t>
      </w:r>
    </w:p>
    <w:p>
      <w:pPr>
        <w:spacing w:after="120" w:line="360"/>
        <w:ind w:firstLine="480"/>
        <w:jc w:val="both"/>
      </w:pPr>
      <w:r>
        <w:rPr>
          <w:rFonts w:ascii="宋体" w:cs="宋体" w:eastAsia="宋体" w:hAnsi="宋体"/>
          <w:b w:val="false"/>
          <w:bCs w:val="false"/>
          <w:sz w:val="24"/>
          <w:szCs w:val="24"/>
        </w:rPr>
        <w:t xml:space="preserve">以GSE104036中位数划分的高铁衰老活性组为因变量，以铁衰老基因集表达矩阵为预测变量，采用L1正则化逻辑回归进行特征选择。为确保稳定性，重复50次随机子采样的6折交叉验证，保留选择频率大于50%的基因。结果筛选出5个稳定的CIRI-铁衰老特征基因：SAT1（96%）、EBF3（88%）、KLF6（88%）、LIFR（72%）及CD74（70%）。内部交叉验证AUC为0.73 ± 0.09，置换检验P = 0.002。将训练好的模型应用于3个独立数据集，预测概率与独立计算的铁衰老评分呈显著正相关：GSE16561（ρ = 0.56，P &lt; 0.0001）、GSE61616（ρ = 0.75，P &lt; 0.0001）、GSE97537（ρ = 0.88，P &lt; 0.0001），有力支持了五基因特征对铁死亡相关转录活性的预测效能。</w:t>
      </w:r>
    </w:p>
    <w:p>
      <w:pPr>
        <w:pStyle w:val="Heading3"/>
        <w:spacing w:after="120" w:before="200"/>
      </w:pPr>
      <w:r>
        <w:rPr>
          <w:rFonts w:ascii="黑体" w:cs="黑体" w:eastAsia="黑体" w:hAnsi="黑体"/>
          <w:b/>
          <w:bCs/>
          <w:sz w:val="24"/>
          <w:szCs w:val="24"/>
        </w:rPr>
        <w:t xml:space="preserve">2. 石竹烯靶点与铁衰老调控网络的拓扑收敛</w:t>
      </w:r>
    </w:p>
    <w:p>
      <w:pPr>
        <w:spacing w:after="120" w:line="360"/>
        <w:ind w:firstLine="480"/>
        <w:jc w:val="both"/>
      </w:pPr>
      <w:r>
        <w:rPr>
          <w:rFonts w:ascii="宋体" w:cs="宋体" w:eastAsia="宋体" w:hAnsi="宋体"/>
          <w:b w:val="false"/>
          <w:bCs w:val="false"/>
          <w:sz w:val="24"/>
          <w:szCs w:val="24"/>
        </w:rPr>
        <w:t xml:space="preserve">采用交集+网络邻近扩展双路径策略确定石竹烯干预脑缺血铁衰老的最终核心基因集：最终核心基因集 = （CIRI-铁衰老候选基因 ∩ 石竹烯高置信度靶点） ∪ 网络邻近扩展的铁死亡关键基因。Part A通过五基因CIRI-铁衰老签名与石竹烯427个高置信度靶点（SwissTargetPrediction + STITCH联合预测）取交集，仅包含SAT1（选择频率96%），提示SAT1是石竹烯直接作用于铁衰老调控的核心靶点。Part B通过一阶网络邻近分析，在STRING v12.0（人，combined score &gt; 700）[10]网络中，石竹烯靶点的直接邻居中识别出337个铁死亡驱动基因邻近基因（44个直接靶点 + 293个一阶邻居）。超几何检验显示该富集具有极高度统计学意义（P = 2.48 × 10⁻⁴³），表明石竹烯靶点群与铁死亡调控网络存在高度拓扑关联。刘胜伟等[19]的网络药理学研究同样证实BCP作用于CIRI的靶点富集于p53、MAPK、NF-κB等通路，关键靶点包括IL-6、TNF、TP53等，与本项目的分析结果高度一致。</w:t>
      </w:r>
    </w:p>
    <w:p>
      <w:pPr>
        <w:pStyle w:val="Heading3"/>
        <w:spacing w:after="120" w:before="200"/>
      </w:pPr>
      <w:r>
        <w:rPr>
          <w:rFonts w:ascii="黑体" w:cs="黑体" w:eastAsia="黑体" w:hAnsi="黑体"/>
          <w:b/>
          <w:bCs/>
          <w:sz w:val="24"/>
          <w:szCs w:val="24"/>
        </w:rPr>
        <w:t xml:space="preserve">3. 免疫浸润与铁衰老的协同激活及WGCNA验证</w:t>
      </w:r>
    </w:p>
    <w:p>
      <w:pPr>
        <w:spacing w:after="120" w:line="360"/>
        <w:ind w:firstLine="480"/>
        <w:jc w:val="both"/>
      </w:pPr>
      <w:r>
        <w:rPr>
          <w:rFonts w:ascii="宋体" w:cs="宋体" w:eastAsia="宋体" w:hAnsi="宋体"/>
          <w:b w:val="false"/>
          <w:bCs w:val="false"/>
          <w:sz w:val="24"/>
          <w:szCs w:val="24"/>
        </w:rPr>
        <w:t xml:space="preserve">基于特征基因集的ssGSEA免疫浸润分析显示，在GSE104036的27个样本中，铁衰老评分与多种免疫细胞丰度存在显著相关。其中，中性粒细胞（r = 0.651，P = 2.3 × 10⁻⁴）和M2型巨噬细胞（r = 0.613，P = 6.7 × 10⁻⁴）与铁衰老评分呈强正相关；而小胶质细胞稳态标志（r = -0.738，P = 1.1 × 10⁻⁵）和星形胶质细胞（r = -0.567，P = 0.002）呈显著负相关。需要说明的是，ssGSEA方法在区分M2型巨噬细胞与小胶质细胞亚型时存在一定局限性——CD206等标志物在某些活化状态的小胶质细胞中也有表达，可能导致算法对细胞类型的判定存在交叉。为弥补这一缺陷，后续实验验证阶段将采用多色免疫荧光进行细胞类型的精确鉴定。在样本量最大的人脑缺血数据集GSE16561（63样本）中，加权基因共表达网络（WGCNA）验证显示，337个核心基因中有97个被分配至有意义的共表达模块，证实核心基因集在人脑缺血的共表达调控网络中处于核心位置。</w:t>
      </w:r>
    </w:p>
    <w:p>
      <w:pPr>
        <w:pStyle w:val="Heading3"/>
        <w:spacing w:after="120" w:before="200"/>
      </w:pPr>
      <w:r>
        <w:rPr>
          <w:rFonts w:ascii="黑体" w:cs="黑体" w:eastAsia="黑体" w:hAnsi="黑体"/>
          <w:b/>
          <w:bCs/>
          <w:sz w:val="24"/>
          <w:szCs w:val="24"/>
        </w:rPr>
        <w:t xml:space="preserve">4. 核心科学假说的提出</w:t>
      </w:r>
    </w:p>
    <w:p>
      <w:pPr>
        <w:spacing w:after="120" w:line="360"/>
        <w:ind w:firstLine="480"/>
        <w:jc w:val="both"/>
      </w:pPr>
      <w:r>
        <w:rPr>
          <w:rFonts w:ascii="宋体" w:cs="宋体" w:eastAsia="宋体" w:hAnsi="宋体"/>
          <w:b w:val="false"/>
          <w:bCs w:val="false"/>
          <w:sz w:val="24"/>
          <w:szCs w:val="24"/>
        </w:rPr>
        <w:t xml:space="preserve">基于上述国内外研究现状和本项目组前期网络药理学研究基础，我们提出以下科学假说：β-石竹烯通过激活Nrf2通路，上调GPX4、FTH1和SLC7A11等下游靶基因，增强细胞抗氧化防御能力，减少4-HNE生成，阻断4-HNE从Keap1-Nrf2防御向DDR-p53衰老的机制转换，从而抑制缺血诱导的铁依赖性SIPS的启动和SASP的分泌，打破铁死亡→4-HNE→p53→SLC7A11↓→更多铁死亡的正反馈环路，最终改善脑缺血再灌注损伤的远期预后。BCP单体是桂艾挥发油的核心药效物质基础，桂艾挥发油因多成分整合可能呈现一定程度的整体药效增益，二者分别代表民族药研究的“精准机制”与“整体观”两个层面。本项目拟通过系统的体内外实验验证这一假说，为脑缺血再灌注损伤的治疗提供新的靶点和候选药物。</w:t>
      </w:r>
    </w:p>
    <w:p>
      <w:pPr>
        <w:pStyle w:val="Heading2"/>
        <w:spacing w:after="160" w:before="280"/>
      </w:pPr>
      <w:r>
        <w:rPr>
          <w:rFonts w:ascii="黑体" w:cs="黑体" w:eastAsia="黑体" w:hAnsi="黑体"/>
          <w:b/>
          <w:bCs/>
          <w:sz w:val="28"/>
          <w:szCs w:val="28"/>
        </w:rPr>
        <w:t xml:space="preserve">参考文献</w:t>
      </w:r>
    </w:p>
    <w:p>
      <w:pPr>
        <w:spacing w:after="80" w:line="320"/>
        <w:ind w:left="720" w:hanging="720"/>
      </w:pPr>
      <w:r>
        <w:rPr>
          <w:rFonts w:ascii="Times New Roman" w:cs="Times New Roman" w:eastAsia="Times New Roman" w:hAnsi="Times New Roman"/>
          <w:sz w:val="21"/>
          <w:szCs w:val="21"/>
        </w:rPr>
        <w:t xml:space="preserve">[1] Liu Z, Wang X, Li Y, et al. Ferro-aging drives primate aging via ACSL4-mediated lipid peroxidation. Cell Metabolism, 2026, 38(2): 245-262.</w:t>
      </w:r>
    </w:p>
    <w:p>
      <w:pPr>
        <w:spacing w:after="80" w:line="320"/>
        <w:ind w:left="720" w:hanging="720"/>
      </w:pPr>
      <w:r>
        <w:rPr>
          <w:rFonts w:ascii="Times New Roman" w:cs="Times New Roman" w:eastAsia="Times New Roman" w:hAnsi="Times New Roman"/>
          <w:sz w:val="21"/>
          <w:szCs w:val="21"/>
        </w:rPr>
        <w:t xml:space="preserve">[2] Monroe TB, Hertzel AV, Dickey DM, et al. Lipid peroxidation products induce carbonyl stress, mitochondrial dysfunction, and cellular senescence in human and murine cells. Aging Cell, 2025, 24(1): e14367.</w:t>
      </w:r>
    </w:p>
    <w:p>
      <w:pPr>
        <w:spacing w:after="80" w:line="320"/>
        <w:ind w:left="720" w:hanging="720"/>
      </w:pPr>
      <w:r>
        <w:rPr>
          <w:rFonts w:ascii="Times New Roman" w:cs="Times New Roman" w:eastAsia="Times New Roman" w:hAnsi="Times New Roman"/>
          <w:sz w:val="21"/>
          <w:szCs w:val="21"/>
        </w:rPr>
        <w:t xml:space="preserve">[3] Hu Q, Li Y, Zhang R, et al. β-Caryophyllene protects against cerebral ischemia/reperfusion injury by activating Nrf2/HO-1 pathway in rats. Phytomedicine, 2022, 105: 154328.</w:t>
      </w:r>
    </w:p>
    <w:p>
      <w:pPr>
        <w:spacing w:after="80" w:line="320"/>
        <w:ind w:left="720" w:hanging="720"/>
      </w:pPr>
      <w:r>
        <w:rPr>
          <w:rFonts w:ascii="Times New Roman" w:cs="Times New Roman" w:eastAsia="Times New Roman" w:hAnsi="Times New Roman"/>
          <w:sz w:val="21"/>
          <w:szCs w:val="21"/>
        </w:rPr>
        <w:t xml:space="preserve">[4] Dixon SJ, Lemberg KM, Lamprecht MR, et al. Ferroptosis: an iron-dependent form of nonapoptotic cell death. Cell, 2012, 149(5): 1060-1072.</w:t>
      </w:r>
    </w:p>
    <w:p>
      <w:pPr>
        <w:spacing w:after="80" w:line="320"/>
        <w:ind w:left="720" w:hanging="720"/>
      </w:pPr>
      <w:r>
        <w:rPr>
          <w:rFonts w:ascii="Times New Roman" w:cs="Times New Roman" w:eastAsia="Times New Roman" w:hAnsi="Times New Roman"/>
          <w:sz w:val="21"/>
          <w:szCs w:val="21"/>
        </w:rPr>
        <w:t xml:space="preserve">[5] Stockwell BR, Friedmann Angeli JP, Bayir H, et al. Ferroptosis: a regulated cell death nexus linking metabolism, redox biology, and disease. Cell, 2017, 171(2): 273-285.</w:t>
      </w:r>
    </w:p>
    <w:p>
      <w:pPr>
        <w:spacing w:after="80" w:line="320"/>
        <w:ind w:left="720" w:hanging="720"/>
      </w:pPr>
      <w:r>
        <w:rPr>
          <w:rFonts w:ascii="Times New Roman" w:cs="Times New Roman" w:eastAsia="Times New Roman" w:hAnsi="Times New Roman"/>
          <w:sz w:val="21"/>
          <w:szCs w:val="21"/>
        </w:rPr>
        <w:t xml:space="preserve">[6] Tchkonia T, Zhu Y, van Deursen J, et al. Cellular senescence and the senescent secretory phenotype: therapeutic opportunities. Journal of Clinical Investigation, 2013, 123(3): 966-972.</w:t>
      </w:r>
    </w:p>
    <w:p>
      <w:pPr>
        <w:spacing w:after="80" w:line="320"/>
        <w:ind w:left="720" w:hanging="720"/>
      </w:pPr>
      <w:r>
        <w:rPr>
          <w:rFonts w:ascii="Times New Roman" w:cs="Times New Roman" w:eastAsia="Times New Roman" w:hAnsi="Times New Roman"/>
          <w:sz w:val="21"/>
          <w:szCs w:val="21"/>
        </w:rPr>
        <w:t xml:space="preserve">[7] Geng Y, Li S, Gao Y, et al. The role of ferroptosis in ischemic stroke and its potential therapeutic value. Acta Pharmacologica Sinica, 2024, 45(1): 51-68.</w:t>
      </w:r>
    </w:p>
    <w:p>
      <w:pPr>
        <w:spacing w:after="80" w:line="320"/>
        <w:ind w:left="720" w:hanging="720"/>
      </w:pPr>
      <w:r>
        <w:rPr>
          <w:rFonts w:ascii="Times New Roman" w:cs="Times New Roman" w:eastAsia="Times New Roman" w:hAnsi="Times New Roman"/>
          <w:sz w:val="21"/>
          <w:szCs w:val="21"/>
        </w:rPr>
        <w:t xml:space="preserve">[8] Baixauli-Martín F, López-Otín C, Mittelbrunn M. The role of senescent cells in stroke. Nature Reviews Neurology, 2025, 21(3): 165-180.</w:t>
      </w:r>
    </w:p>
    <w:p>
      <w:pPr>
        <w:spacing w:after="80" w:line="320"/>
        <w:ind w:left="720" w:hanging="720"/>
      </w:pPr>
      <w:r>
        <w:rPr>
          <w:rFonts w:ascii="Times New Roman" w:cs="Times New Roman" w:eastAsia="Times New Roman" w:hAnsi="Times New Roman"/>
          <w:sz w:val="21"/>
          <w:szCs w:val="21"/>
        </w:rPr>
        <w:t xml:space="preserve">[9] Barbie DA, Tamayo P, Boehm JS, et al. Systematic RNA interference reveals that oncogenic KRAS-driven cancers require TBK1. Nature, 2009, 462(7269): 108-112.</w:t>
      </w:r>
    </w:p>
    <w:p>
      <w:pPr>
        <w:spacing w:after="80" w:line="320"/>
        <w:ind w:left="720" w:hanging="720"/>
      </w:pPr>
      <w:r>
        <w:rPr>
          <w:rFonts w:ascii="Times New Roman" w:cs="Times New Roman" w:eastAsia="Times New Roman" w:hAnsi="Times New Roman"/>
          <w:sz w:val="21"/>
          <w:szCs w:val="21"/>
        </w:rPr>
        <w:t xml:space="preserve">[10] Szklarczyk D, Gable AL, Lyon D, et al. STRING v11: protein-protein association networks with increased coverage, supporting functional discovery in genome-wide experimental datasets. Nucleic Acids Research, 2019, 47(D1): D607-D613.</w:t>
      </w:r>
    </w:p>
    <w:p>
      <w:pPr>
        <w:spacing w:after="80" w:line="320"/>
        <w:ind w:left="720" w:hanging="720"/>
      </w:pPr>
      <w:r>
        <w:rPr>
          <w:rFonts w:ascii="Times New Roman" w:cs="Times New Roman" w:eastAsia="Times New Roman" w:hAnsi="Times New Roman"/>
          <w:sz w:val="21"/>
          <w:szCs w:val="21"/>
        </w:rPr>
        <w:t xml:space="preserve">[11] Fang X, Wang H, Han D, et al. Ferroptosis as a target for protection against cardiomyopathy. Proceedings of the National Academy of Sciences, 2019, 116(7): 2672-2680.</w:t>
      </w:r>
    </w:p>
    <w:p>
      <w:pPr>
        <w:spacing w:after="80" w:line="320"/>
        <w:ind w:left="720" w:hanging="720"/>
      </w:pPr>
      <w:r>
        <w:rPr>
          <w:rFonts w:ascii="Times New Roman" w:cs="Times New Roman" w:eastAsia="Times New Roman" w:hAnsi="Times New Roman"/>
          <w:sz w:val="21"/>
          <w:szCs w:val="21"/>
        </w:rPr>
        <w:t xml:space="preserve">[12] Zhang Y, Wang K, Zhang X, et al. Targeting Nrf2 signaling pathway by natural products for neuroprotection in ischemic stroke. Pharmacological Research, 2025, 214: 107786.</w:t>
      </w:r>
    </w:p>
    <w:p>
      <w:pPr>
        <w:spacing w:after="80" w:line="320"/>
        <w:ind w:left="720" w:hanging="720"/>
      </w:pPr>
      <w:r>
        <w:rPr>
          <w:rFonts w:ascii="Times New Roman" w:cs="Times New Roman" w:eastAsia="Times New Roman" w:hAnsi="Times New Roman"/>
          <w:sz w:val="21"/>
          <w:szCs w:val="21"/>
        </w:rPr>
        <w:t xml:space="preserve">[13] Gao M, Yi J, Zhu X, et al. Role of ferroptosis in the pathogenesis and treatment of neurological diseases. Acta Pharmacologica Sinica, 2025, 46(2): 303-318.</w:t>
      </w:r>
    </w:p>
    <w:p>
      <w:pPr>
        <w:spacing w:after="80" w:line="320"/>
        <w:ind w:left="720" w:hanging="720"/>
      </w:pPr>
      <w:r>
        <w:rPr>
          <w:rFonts w:ascii="Times New Roman" w:cs="Times New Roman" w:eastAsia="Times New Roman" w:hAnsi="Times New Roman"/>
          <w:sz w:val="21"/>
          <w:szCs w:val="21"/>
        </w:rPr>
        <w:t xml:space="preserve">[14] Uchida K. 4-Hydroxy-2-nonenal: a product and mediator of oxidative stress. Progress in Lipid Research, 2003, 42(4): 318-343.</w:t>
      </w:r>
    </w:p>
    <w:p>
      <w:pPr>
        <w:spacing w:after="80" w:line="320"/>
        <w:ind w:left="720" w:hanging="720"/>
      </w:pPr>
      <w:r>
        <w:rPr>
          <w:rFonts w:ascii="Times New Roman" w:cs="Times New Roman" w:eastAsia="Times New Roman" w:hAnsi="Times New Roman"/>
          <w:sz w:val="21"/>
          <w:szCs w:val="21"/>
        </w:rPr>
        <w:t xml:space="preserve">[15] Zhou Y, Tao S, Chen S, et al. Advances in ferroptosis-based therapy for aging and aging-related diseases. Chinese Journal of Comparative Medicine, 2023, 33(9): 121-131, 154.</w:t>
      </w:r>
    </w:p>
    <w:p>
      <w:pPr>
        <w:spacing w:after="80" w:line="320"/>
        <w:ind w:left="720" w:hanging="720"/>
      </w:pPr>
      <w:r>
        <w:rPr>
          <w:rFonts w:ascii="Times New Roman" w:cs="Times New Roman" w:eastAsia="Times New Roman" w:hAnsi="Times New Roman"/>
          <w:sz w:val="21"/>
          <w:szCs w:val="21"/>
        </w:rPr>
        <w:t xml:space="preserve">[16] Daoji J, Zhao W. Small molecule agonist targeting ErbB4 receptor inhibits neuronal senescence by regulating ferroptosis via Akt/Nrf2 pathway. Master Thesis, Jiangnan University, 2025.</w:t>
      </w:r>
    </w:p>
    <w:p>
      <w:pPr>
        <w:spacing w:after="80" w:line="320"/>
        <w:ind w:left="720" w:hanging="720"/>
      </w:pPr>
      <w:r>
        <w:rPr>
          <w:rFonts w:ascii="Times New Roman" w:cs="Times New Roman" w:eastAsia="Times New Roman" w:hAnsi="Times New Roman"/>
          <w:sz w:val="21"/>
          <w:szCs w:val="21"/>
        </w:rPr>
        <w:t xml:space="preserve">[17] Liu J, Chen S, Wang Y, et al. β-caryophyllene improves cerebral ischemia reperfusion injury in rats via Notch1/NF-κB signal axis. Journal of Third Military Medical University, 2021, 43(2): 109-117.</w:t>
      </w:r>
    </w:p>
    <w:p>
      <w:pPr>
        <w:spacing w:after="80" w:line="320"/>
        <w:ind w:left="720" w:hanging="720"/>
      </w:pPr>
      <w:r>
        <w:rPr>
          <w:rFonts w:ascii="Times New Roman" w:cs="Times New Roman" w:eastAsia="Times New Roman" w:hAnsi="Times New Roman"/>
          <w:sz w:val="21"/>
          <w:szCs w:val="21"/>
        </w:rPr>
        <w:t xml:space="preserve">[18] Zuo T, Dong Z. β-Caryophyllene alleviates cerebral ischemia-reperfusion injury in rats by activating HSF1/HSP70 signaling pathway. Master Thesis, Chongqing Medical University, 2022.</w:t>
      </w:r>
    </w:p>
    <w:p>
      <w:pPr>
        <w:spacing w:after="80" w:line="320"/>
        <w:ind w:left="720" w:hanging="720"/>
      </w:pPr>
      <w:r>
        <w:rPr>
          <w:rFonts w:ascii="Times New Roman" w:cs="Times New Roman" w:eastAsia="Times New Roman" w:hAnsi="Times New Roman"/>
          <w:sz w:val="21"/>
          <w:szCs w:val="21"/>
        </w:rPr>
        <w:t xml:space="preserve">[19] Liu S, Shen Z, Ren Z, et al. Network pharmacology-based study and in-vivo verification of β-caryophyllene against cerebral ischemia/reperfusion injury. Journal of New Chinese Medicine, 2024, 56(11): 63-69.</w:t>
      </w:r>
    </w:p>
    <w:p>
      <w:pPr>
        <w:pStyle w:val="Heading1"/>
        <w:spacing w:after="200" w:before="360"/>
      </w:pPr>
      <w:r>
        <w:rPr>
          <w:rFonts w:ascii="黑体" w:cs="黑体" w:eastAsia="黑体" w:hAnsi="黑体"/>
          <w:b/>
          <w:bCs/>
          <w:sz w:val="32"/>
          <w:szCs w:val="32"/>
        </w:rPr>
        <w:t xml:space="preserve">二、研究目标</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证实CIRI半暗带中存在缺血诱导的铁依赖性SIPS，阐明4-HNE作用的机制选择性（Keap1-Nrf2防御 vs p53衰老转向）在铁依赖性SIPS启动中的开关作用，明确4-HNE-p53-SLC7A11分子轴的关键作用。</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阐明BCP通过Nrf2通路阻断铁依赖性SIPS的细胞分子机制，明确其作用靶点和信号调控网络，重点验证BCP→Nrf2→GPX4↑→4-HNE↓→阻断p53衰老转向→SLC7A11↑这一信号轴。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在整体动物水平验证BCP改善CIRI远期预后的药效，确认其神经保护效应的Nrf2依赖性（药理学抑制+脑区特异性敲降双重验证）。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比较桂艾挥发油与BCP单体的药效差异，探讨民族药多成分整合效应，为壮瑶药现代化研究提供实验依据。</w:t>
      </w:r>
    </w:p>
    <w:p>
      <w:pPr>
        <w:pStyle w:val="Heading1"/>
        <w:spacing w:after="200" w:before="360"/>
      </w:pPr>
      <w:r>
        <w:rPr>
          <w:rFonts w:ascii="黑体" w:cs="黑体" w:eastAsia="黑体" w:hAnsi="黑体"/>
          <w:b/>
          <w:bCs/>
          <w:sz w:val="32"/>
          <w:szCs w:val="32"/>
        </w:rPr>
        <w:t xml:space="preserve">三、研究内容</w:t>
      </w:r>
    </w:p>
    <w:p>
      <w:pPr>
        <w:pStyle w:val="Heading2"/>
        <w:spacing w:after="160" w:before="280"/>
      </w:pPr>
      <w:r>
        <w:rPr>
          <w:rFonts w:ascii="黑体" w:cs="黑体" w:eastAsia="黑体" w:hAnsi="黑体"/>
          <w:b/>
          <w:bCs/>
          <w:sz w:val="28"/>
          <w:szCs w:val="28"/>
        </w:rPr>
        <w:t xml:space="preserve">研究内容一：CIRI中铁依赖性SIPS的时空特征及分子轴研究（重点）</w:t>
      </w:r>
    </w:p>
    <w:p>
      <w:pPr>
        <w:spacing w:after="120" w:line="360"/>
        <w:ind w:firstLine="480"/>
        <w:jc w:val="both"/>
      </w:pPr>
      <w:r>
        <w:rPr>
          <w:rFonts w:ascii="宋体" w:cs="宋体" w:eastAsia="宋体" w:hAnsi="宋体"/>
          <w:b w:val="false"/>
          <w:bCs w:val="false"/>
          <w:sz w:val="24"/>
          <w:szCs w:val="24"/>
        </w:rPr>
        <w:t xml:space="preserve">本部分为项目研究重心，旨在明确CIRI后半暗带中是否存在铁依赖性SIPS，及其时空分布特征、细胞类型和核心分子机制，重点解答4-HNE作用的机制选择性问题。采用C57BL/6J小鼠MCAO/R模型（缺血60 min），在再灌注后6 h、24 h、3 d、7 d、28 d五个时间点取材。运用免疫荧光多重标记技术（NeuN/GFAP/Iba-1分别与铁死亡标志物GPX4/4-HNE/FTH1及衰老标志物p21/γH2AX共定位）、透射电镜、铁含量比色法及普鲁士蓝染色，系统定量分析铁衰老双阳性细胞的时空分布规律及细胞类型。</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pStyle w:val="Heading2"/>
        <w:spacing w:after="160" w:before="280"/>
      </w:pPr>
      <w:r>
        <w:rPr>
          <w:rFonts w:ascii="黑体" w:cs="黑体" w:eastAsia="黑体" w:hAnsi="黑体"/>
          <w:b/>
          <w:bCs/>
          <w:sz w:val="28"/>
          <w:szCs w:val="28"/>
        </w:rPr>
        <w:t xml:space="preserve">研究内容二：BCP抗铁依赖性SIPS的细胞机制研究（重点）</w:t>
      </w:r>
    </w:p>
    <w:p>
      <w:pPr>
        <w:spacing w:after="120" w:line="360"/>
        <w:ind w:firstLine="480"/>
        <w:jc w:val="both"/>
      </w:pPr>
      <w:r>
        <w:rPr>
          <w:rFonts w:ascii="宋体" w:cs="宋体" w:eastAsia="宋体" w:hAnsi="宋体"/>
          <w:b w:val="false"/>
          <w:bCs w:val="false"/>
          <w:sz w:val="24"/>
          <w:szCs w:val="24"/>
        </w:rPr>
        <w:t xml:space="preserve">本部分为另一研究重心，旨在建立稳定的体外铁依赖性SIPS细胞模型，评价BCP的干预效果，并明确Nrf2在其中的关键作用。采用新生24 h内C57BL/6J小鼠原代皮层神经元和星形胶质细胞，以低剂量Erastin和OGD/R（2 h OGD + 24 h复氧）两种方法诱导亚致死量铁死亡压力。</w: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spacing w:after="120" w:line="360"/>
        <w:jc w:val="both"/>
      </w:pPr>
      <w:r>
        <w:rPr>
          <w:rFonts w:ascii="宋体" w:cs="宋体" w:eastAsia="宋体" w:hAnsi="宋体"/>
          <w:b w:val="false"/>
          <w:bCs w:val="false"/>
          <w:sz w:val="24"/>
          <w:szCs w:val="24"/>
        </w:rPr>
        <w:t xml:space="default"/>
      </w:r>
    </w:p>
    <w:p>
      <w:pPr>
        <w:pStyle w:val="Heading2"/>
        <w:spacing w:after="160" w:before="280"/>
      </w:pPr>
      <w:r>
        <w:rPr>
          <w:rFonts w:ascii="黑体" w:cs="黑体" w:eastAsia="黑体" w:hAnsi="黑体"/>
          <w:b/>
          <w:bCs/>
          <w:sz w:val="28"/>
          <w:szCs w:val="28"/>
        </w:rPr>
        <w:t xml:space="preserve">研究内容三：BCP改善CIRI远期预后的整体药效与机制验证</w:t>
      </w:r>
    </w:p>
    <w:p>
      <w:pPr>
        <w:spacing w:after="120" w:line="360"/>
        <w:ind w:firstLine="480"/>
        <w:jc w:val="both"/>
      </w:pPr>
      <w:r>
        <w:rPr>
          <w:rFonts w:ascii="宋体" w:cs="宋体" w:eastAsia="宋体" w:hAnsi="宋体"/>
          <w:b w:val="false"/>
          <w:bCs w:val="false"/>
          <w:sz w:val="24"/>
          <w:szCs w:val="24"/>
        </w:rPr>
        <w:t xml:space="preserve">本部分在整体动物水平验证BCP对CIRI的神经保护效应，重点关注远期功能预后，确认Nrf2依赖性。采用C57BL/6J小鼠MCAO/R模型，设假手术组、模型组、BCP低/中/高剂量组、Liproxstatin-1阳性药组、BCP+ML385组，每组12只。再灌注后即刻首次给药，给药14天，28天进行行为学终点评价。</w:t>
      </w:r>
    </w:p>
    <w:p>
      <w:pPr>
        <w:spacing w:after="120" w:line="360"/>
        <w:jc w:val="both"/>
      </w:pPr>
      <w:r>
        <w:rPr>
          <w:rFonts w:ascii="宋体" w:cs="宋体" w:eastAsia="宋体" w:hAnsi="宋体"/>
          <w:b w:val="false"/>
          <w:bCs w:val="false"/>
          <w:sz w:val="24"/>
          <w:szCs w:val="24"/>
        </w:rPr>
        <w:t xml:space="default"/>
      </w:r>
    </w:p>
    <w:p>
      <w:pPr>
        <w:pStyle w:val="Heading2"/>
        <w:spacing w:after="160" w:before="280"/>
      </w:pPr>
      <w:r>
        <w:rPr>
          <w:rFonts w:ascii="黑体" w:cs="黑体" w:eastAsia="黑体" w:hAnsi="黑体"/>
          <w:b/>
          <w:bCs/>
          <w:sz w:val="28"/>
          <w:szCs w:val="28"/>
        </w:rPr>
        <w:t xml:space="preserve">研究内容四：桂艾挥发油与BCP单体的药效比较研究</w:t>
      </w:r>
    </w:p>
    <w:p>
      <w:pPr>
        <w:spacing w:after="120" w:line="360"/>
        <w:jc w:val="both"/>
      </w:pPr>
      <w:r>
        <w:rPr>
          <w:rFonts w:ascii="宋体" w:cs="宋体" w:eastAsia="宋体" w:hAnsi="宋体"/>
          <w:b w:val="false"/>
          <w:bCs w:val="false"/>
          <w:sz w:val="24"/>
          <w:szCs w:val="24"/>
        </w:rPr>
        <w:t xml:space="default"/>
      </w:r>
    </w:p>
    <w:p>
      <w:pPr>
        <w:pStyle w:val="Heading1"/>
        <w:spacing w:after="200" w:before="360"/>
      </w:pPr>
      <w:r>
        <w:rPr>
          <w:rFonts w:ascii="黑体" w:cs="黑体" w:eastAsia="黑体" w:hAnsi="黑体"/>
          <w:b/>
          <w:bCs/>
          <w:sz w:val="32"/>
          <w:szCs w:val="32"/>
        </w:rPr>
        <w:t xml:space="preserve">四、拟解决的关键科学问题</w:t>
      </w:r>
    </w:p>
    <w:p>
      <w:pPr>
        <w:spacing w:after="120" w:line="360"/>
        <w:ind w:firstLine="480"/>
        <w:jc w:val="both"/>
      </w:pPr>
      <w:r>
        <w:rPr>
          <w:rFonts w:ascii="宋体" w:cs="宋体" w:eastAsia="宋体" w:hAnsi="宋体"/>
          <w:b w:val="false"/>
          <w:bCs w:val="false"/>
          <w:sz w:val="24"/>
          <w:szCs w:val="24"/>
        </w:rPr>
        <w:t xml:space="preserve">1. CIRI半暗带中铁依赖性SIPS的存在性及其4-HNE作用机制选择性的阐明。核心是回答“4-HNE为何在铁死亡情境下不主要激活Nrf2防御，而是转向p53介导的衰老”这一关键问题。这一问题的解决将为理解缺血性脑损伤从急性期向慢性期演变的机制提供新视角，丰富铁死亡与细胞衰老交互作用的理论体系。</w:t>
      </w:r>
    </w:p>
    <w:p>
      <w:pPr>
        <w:spacing w:after="120" w:line="360"/>
        <w:ind w:firstLine="480"/>
        <w:jc w:val="both"/>
      </w:pPr>
      <w:r>
        <w:rPr>
          <w:rFonts w:ascii="宋体" w:cs="宋体" w:eastAsia="宋体" w:hAnsi="宋体"/>
          <w:b w:val="false"/>
          <w:bCs w:val="false"/>
          <w:sz w:val="24"/>
          <w:szCs w:val="24"/>
        </w:rPr>
        <w:t xml:space="preserve">2. BCP通过Nrf2通路阻断铁依赖性SIPS、改善CIRI远期预后的分子机制解析。重点验证BCP→Nrf2→GPX4↑→4-HNE↓→阻断p53衰老转向→SLC7A11↑这一完整信号轴。这一问题的解决将为开发以铁衰老为靶点的脑卒中治疗药物提供先导化合物和理论基础。</w:t>
      </w:r>
    </w:p>
    <w:p>
      <w:pPr>
        <w:spacing w:after="120" w:line="360"/>
        <w:ind w:firstLine="480"/>
        <w:jc w:val="both"/>
      </w:pPr>
      <w:r>
        <w:rPr>
          <w:rFonts w:ascii="宋体" w:cs="宋体" w:eastAsia="宋体" w:hAnsi="宋体"/>
          <w:b w:val="false"/>
          <w:bCs w:val="false"/>
          <w:sz w:val="24"/>
          <w:szCs w:val="24"/>
        </w:rPr>
        <w:t xml:space="preserve">3. 壮瑶药桂艾挥发油多成分整合效应的初步探索。明确BCP单体与桂艾挥发油整体的药效关系定位，为民族药现代化研究提供新的思路，有助于揭示壮瑶药传统经验的现代科学内涵。</w:t>
      </w:r>
    </w:p>
    <w:p>
      <w:pPr>
        <w:pStyle w:val="Heading1"/>
        <w:spacing w:after="200" w:before="360"/>
      </w:pPr>
      <w:r>
        <w:rPr>
          <w:rFonts w:ascii="黑体" w:cs="黑体" w:eastAsia="黑体" w:hAnsi="黑体"/>
          <w:b/>
          <w:bCs/>
          <w:sz w:val="32"/>
          <w:szCs w:val="32"/>
        </w:rPr>
        <w:t xml:space="preserve">五、研究方案</w:t>
      </w:r>
    </w:p>
    <w:p>
      <w:pPr>
        <w:pStyle w:val="Heading2"/>
        <w:spacing w:after="160" w:before="280"/>
      </w:pPr>
      <w:r>
        <w:rPr>
          <w:rFonts w:ascii="黑体" w:cs="黑体" w:eastAsia="黑体" w:hAnsi="黑体"/>
          <w:b/>
          <w:bCs/>
          <w:sz w:val="28"/>
          <w:szCs w:val="28"/>
        </w:rPr>
        <w:t xml:space="preserve">5.1 实验材料与方法</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实验动物：SPF级C57BL/6J小鼠（22-25 g，雄性），购自北京维通利华；屏障环境饲养，12 h光暗循环。</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药物与试剂：β-石竹烯（Sigma-Aldrich，≥98.5%）、桂艾挥发油（自制，GC-MS鉴定）、Erastin/RSL3/Liproxstatin-1（MCE）、DFO、ML385、4-HNE（Sigma）、SA-β-gal染色试剂盒（CST）、C11-BODIPY 581/591（Invitrogen）。</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主要抗体与病毒：抗-GPX4、ACSL4、FTH1、p53、p-p53、p21、γH2AX、4-HNE、Nrf2、Keap1、HO-1、SLC7A11、NeuN、GFAP、Iba-1等（CST/Abcam/Proteintech）；AAV-shACSL4、AAV-ACSL4、AAV-shNrf2、AAV-p53 WT及突变体（汉恒/吉凯，滴度≥1×10¹² vg/mL）。</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道地药材：广西道地桂艾采自广西药用植物园GAP基地，经广西中医药大学鉴定。</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模型与检测：小鼠MCAO/R（改良线栓法，缺血60 min）；原代皮层神经元/星形胶质细胞培养；OGD/R模型；铁死亡检测（Fe²⁺探针、C11-BODIPY、MDA、GSH、透射电镜）；衰老检测（SA-β-gal、p21/p16、SASP、免疫荧光）；分子生物学（Western Blot、qRT-PCR、IP、ChIP-qPCR、分子对接、CETSA）；行为学（转棒、足误）；脑立体定位注射AAV。</w:t>
      </w:r>
    </w:p>
    <w:p>
      <w:pPr>
        <w:pStyle w:val="Heading2"/>
        <w:spacing w:after="160" w:before="280"/>
      </w:pPr>
      <w:r>
        <w:rPr>
          <w:rFonts w:ascii="黑体" w:cs="黑体" w:eastAsia="黑体" w:hAnsi="黑体"/>
          <w:b/>
          <w:bCs/>
          <w:sz w:val="28"/>
          <w:szCs w:val="28"/>
        </w:rPr>
        <w:t xml:space="preserve">5.2 统计学分析</w:t>
      </w:r>
    </w:p>
    <w:p>
      <w:pPr>
        <w:spacing w:after="120" w:line="360"/>
        <w:ind w:firstLine="480"/>
        <w:jc w:val="both"/>
      </w:pPr>
      <w:r>
        <w:rPr>
          <w:rFonts w:ascii="宋体" w:cs="宋体" w:eastAsia="宋体" w:hAnsi="宋体"/>
          <w:b w:val="false"/>
          <w:bCs w:val="false"/>
          <w:sz w:val="24"/>
          <w:szCs w:val="24"/>
        </w:rPr>
        <w:t xml:space="preserve">数据采用GraphPad Prism 9.0和SPSS 26.0分析。计量资料以均数±标准差表示。两组比较采用t检验或Mann-Whitney U检验；多组比较采用单因素方差分析，两两比较用Tukey或Dunnett法；重复测量数据采用重复测量方差分析。高通量检测采用Benjamini-Hochberg法FDR校正（q &lt; 0.05）。以梗死体积为主要终点，按Cohen d ≈ 1.2、α = 0.05、Power = 0.80估算，每组n = 12（含20%脱落率）。P &lt; 0.05（或q &lt; 0.05）为差异有统计学意义。</w:t>
      </w:r>
    </w:p>
    <w:p>
      <w:pPr>
        <w:pStyle w:val="Heading1"/>
        <w:spacing w:after="200" w:before="360"/>
      </w:pPr>
      <w:r>
        <w:rPr>
          <w:rFonts w:ascii="黑体" w:cs="黑体" w:eastAsia="黑体" w:hAnsi="黑体"/>
          <w:b/>
          <w:bCs/>
          <w:sz w:val="32"/>
          <w:szCs w:val="32"/>
        </w:rPr>
        <w:t xml:space="preserve">六、技术路线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shd w:fill="E8F5E9"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第一部分</w:t>
            </w:r>
          </w:p>
          <w:p>
            <w:pPr>
              <w:spacing w:after="40" w:line="300"/>
              <w:jc w:val="center"/>
            </w:pPr>
            <w:r>
              <w:rPr>
                <w:rFonts w:ascii="宋体" w:cs="宋体" w:eastAsia="宋体" w:hAnsi="宋体"/>
                <w:b/>
                <w:bCs/>
                <w:sz w:val="18"/>
                <w:szCs w:val="18"/>
              </w:rPr>
              <w:t xml:space="preserve">现象+机制</w:t>
            </w:r>
          </w:p>
          <w:p>
            <w:pPr>
              <w:spacing w:after="40" w:line="300"/>
              <w:jc w:val="center"/>
            </w:pPr>
            <w:r>
              <w:rPr>
                <w:rFonts w:ascii="宋体" w:cs="宋体" w:eastAsia="宋体" w:hAnsi="宋体"/>
                <w:b/>
                <w:bCs/>
                <w:sz w:val="18"/>
                <w:szCs w:val="18"/>
              </w:rPr>
              <w:t xml:space="preserve">（第1年，重点）</w:t>
            </w:r>
          </w:p>
        </w:tc>
        <w:tc>
          <w:tcPr>
            <w:tcW w:type="dxa" w:w="7560"/>
            <w:shd w:fill="E8F5E9"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CIRI半暗带铁依赖性SIPS的存在性、时空特征及4-HNE机制选择性研究</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时间：6h / 24h / 3d / 7d / 28d  ↓ 空间：核心区 / 半暗带 / 对侧区  ↓ 细胞：神经元 / 星形胶质细胞 / 小胶质细胞</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3E0"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关键技术：免疫荧光共定位 | SA-β-gal | 普鲁士蓝 | 透射电镜 | Western Blot | IP/IB | ChIP-qPCR</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机制选择性验证：Keap1修饰 vs p53修饰时序 + p53位点突变 + SLC7A11转录抑制验证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ACSL4双向验证：AAV-shACSL4（敲低） + AAV-ACSL4（过表达） ↓</w:t>
            </w:r>
          </w:p>
        </w:tc>
      </w:tr>
      <w:tr>
        <w:tc>
          <w:tcPr>
            <w:tcW w:type="dxa" w:w="1800"/>
            <w:shd w:fill="E3F2FD"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第二部分</w:t>
            </w:r>
          </w:p>
          <w:p>
            <w:pPr>
              <w:spacing w:after="40" w:line="300"/>
              <w:jc w:val="center"/>
            </w:pPr>
            <w:r>
              <w:rPr>
                <w:rFonts w:ascii="宋体" w:cs="宋体" w:eastAsia="宋体" w:hAnsi="宋体"/>
                <w:b/>
                <w:bCs/>
                <w:sz w:val="18"/>
                <w:szCs w:val="18"/>
              </w:rPr>
              <w:t xml:space="preserve">细胞机制</w:t>
            </w:r>
          </w:p>
          <w:p>
            <w:pPr>
              <w:spacing w:after="40" w:line="300"/>
              <w:jc w:val="center"/>
            </w:pPr>
            <w:r>
              <w:rPr>
                <w:rFonts w:ascii="宋体" w:cs="宋体" w:eastAsia="宋体" w:hAnsi="宋体"/>
                <w:b/>
                <w:bCs/>
                <w:sz w:val="18"/>
                <w:szCs w:val="18"/>
              </w:rPr>
              <w:t xml:space="preserve">（第2年，重点）</w:t>
            </w:r>
          </w:p>
        </w:tc>
        <w:tc>
          <w:tcPr>
            <w:tcW w:type="dxa" w:w="7560"/>
            <w:shd w:fill="E3F2FD"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BCP通过Nrf2通路阻断铁依赖性SIPS的细胞分子机制</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体外SIPS模型严格验证  ↓ Nrf2依赖性双重验证  ↓ 分子轴调控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Erastin / OGD/R模型 | 铁死亡指标+逆转实验 | 4-HNE量效曲线 | C11-BODIPY+SA-β-gal双染    Nrf2过表达/沉默+ML385 | 分子对接 | CETSA    BCP→Nrf2→GPX4↑→4-HNE↓→阻断p53转向→SLC7A11↑ | 挽救实验 | 时序分析</w:t>
            </w:r>
          </w:p>
        </w:tc>
      </w:tr>
      <w:tr>
        <w:tc>
          <w:tcPr>
            <w:tcW w:type="dxa" w:w="1800"/>
            <w:shd w:fill="FCE4EC"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第三部分</w:t>
            </w:r>
          </w:p>
          <w:p>
            <w:pPr>
              <w:spacing w:after="40" w:line="300"/>
              <w:jc w:val="center"/>
            </w:pPr>
            <w:r>
              <w:rPr>
                <w:rFonts w:ascii="宋体" w:cs="宋体" w:eastAsia="宋体" w:hAnsi="宋体"/>
                <w:b/>
                <w:bCs/>
                <w:sz w:val="18"/>
                <w:szCs w:val="18"/>
              </w:rPr>
              <w:t xml:space="preserve">整体药效</w:t>
            </w:r>
          </w:p>
          <w:p>
            <w:pPr>
              <w:spacing w:after="40" w:line="300"/>
              <w:jc w:val="center"/>
            </w:pPr>
            <w:r>
              <w:rPr>
                <w:rFonts w:ascii="宋体" w:cs="宋体" w:eastAsia="宋体" w:hAnsi="宋体"/>
                <w:b/>
                <w:bCs/>
                <w:sz w:val="18"/>
                <w:szCs w:val="18"/>
              </w:rPr>
              <w:t xml:space="preserve">（第3年）</w:t>
            </w:r>
          </w:p>
        </w:tc>
        <w:tc>
          <w:tcPr>
            <w:tcW w:type="dxa" w:w="7560"/>
            <w:shd w:fill="FCE4EC"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BCP改善CIRI远期预后的整体药效 + Nrf2依赖双重验证</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预实验：剂量探索+药代动力学  ↓ 整体药效  ↓ Nrf2依赖（ML385+AAV-shNrf2）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MCAO/R模型 | TTC | 脑水肿 | mNSS | 转棒 | 足误（28d）    ML385药理学抑制 + 脑区特异性shNrf2 | 功能 + SIPS标志物验证</w:t>
            </w:r>
          </w:p>
        </w:tc>
      </w:tr>
      <w:tr>
        <w:tc>
          <w:tcPr>
            <w:tcW w:type="dxa" w:w="1800"/>
            <w:shd w:fill="F3E5F5"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第四部分</w:t>
            </w:r>
          </w:p>
          <w:p>
            <w:pPr>
              <w:spacing w:after="40" w:line="300"/>
              <w:jc w:val="center"/>
            </w:pPr>
            <w:r>
              <w:rPr>
                <w:rFonts w:ascii="宋体" w:cs="宋体" w:eastAsia="宋体" w:hAnsi="宋体"/>
                <w:b/>
                <w:bCs/>
                <w:sz w:val="18"/>
                <w:szCs w:val="18"/>
              </w:rPr>
              <w:t xml:space="preserve">民族药</w:t>
            </w:r>
          </w:p>
          <w:p>
            <w:pPr>
              <w:spacing w:after="40" w:line="300"/>
              <w:jc w:val="center"/>
            </w:pPr>
            <w:r>
              <w:rPr>
                <w:rFonts w:ascii="宋体" w:cs="宋体" w:eastAsia="宋体" w:hAnsi="宋体"/>
                <w:b/>
                <w:bCs/>
                <w:sz w:val="18"/>
                <w:szCs w:val="18"/>
              </w:rPr>
              <w:t xml:space="preserve">（第3年，探索）</w:t>
            </w:r>
          </w:p>
        </w:tc>
        <w:tc>
          <w:tcPr>
            <w:tcW w:type="dxa" w:w="7560"/>
            <w:shd w:fill="F3E5F5"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桂艾挥发油与BCP单体药效比较（多成分整合效应探索）</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FFFFF"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桂艾挥发油制备+GC-MS鉴定  ↓ 药效比较  ↓ Nrf2激活谱比较 ↓</w:t>
            </w:r>
          </w:p>
        </w:tc>
      </w:tr>
      <w:tr>
        <w:tc>
          <w:tcPr>
            <w:tcW w:type="dxa" w:w="1800"/>
            <w:shd w:fill="FFFFFF" w:val="clear"/>
            <w:tcMar>
              <w:top w:type="dxa" w:w="60"/>
              <w:left w:type="dxa" w:w="80"/>
              <w:bottom w:type="dxa" w:w="60"/>
              <w:right w:type="dxa" w:w="80"/>
            </w:tcMar>
          </w:tcPr>
          <w:p>
            <w:pPr>
              <w:spacing w:after="40" w:line="300"/>
              <w:jc w:val="center"/>
            </w:pPr>
            <w:r>
              <w:rPr>
                <w:rFonts w:ascii="宋体" w:cs="宋体" w:eastAsia="宋体" w:hAnsi="宋体"/>
                <w:b/>
                <w:bCs/>
                <w:sz w:val="18"/>
                <w:szCs w:val="18"/>
              </w:rPr>
              <w:t xml:space="preserve"/>
            </w:r>
          </w:p>
        </w:tc>
        <w:tc>
          <w:tcPr>
            <w:tcW w:type="dxa" w:w="7560"/>
            <w:shd w:fill="F3E5F5" w:val="clear"/>
            <w:tcMar>
              <w:top w:type="dxa" w:w="60"/>
              <w:left w:type="dxa" w:w="80"/>
              <w:bottom w:type="dxa" w:w="60"/>
              <w:right w:type="dxa" w:w="80"/>
            </w:tcMar>
          </w:tcPr>
          <w:p>
            <w:pPr>
              <w:spacing w:after="40" w:line="300"/>
              <w:jc w:val="center"/>
            </w:pPr>
            <w:r>
              <w:rPr>
                <w:rFonts w:ascii="宋体" w:cs="宋体" w:eastAsia="宋体" w:hAnsi="宋体"/>
                <w:b w:val="false"/>
                <w:bCs w:val="false"/>
                <w:sz w:val="18"/>
                <w:szCs w:val="18"/>
              </w:rPr>
              <w:t xml:space="preserve">↓ 最终结论：BCP通过激活Nrf2抑制铁依赖性SIPS，改善CIRI远期预后；桂艾挥发油可能有多成分增益</w:t>
            </w:r>
          </w:p>
        </w:tc>
      </w:tr>
    </w:tbl>
    <w:p>
      <w:pPr>
        <w:pStyle w:val="Heading1"/>
        <w:spacing w:after="200" w:before="360"/>
      </w:pPr>
      <w:r>
        <w:rPr>
          <w:rFonts w:ascii="黑体" w:cs="黑体" w:eastAsia="黑体" w:hAnsi="黑体"/>
          <w:b/>
          <w:bCs/>
          <w:sz w:val="32"/>
          <w:szCs w:val="32"/>
        </w:rPr>
        <w:t xml:space="preserve">七、可行性分析</w:t>
      </w:r>
    </w:p>
    <w:p>
      <w:pPr>
        <w:pStyle w:val="Heading2"/>
        <w:spacing w:after="160" w:before="280"/>
      </w:pPr>
      <w:r>
        <w:rPr>
          <w:rFonts w:ascii="黑体" w:cs="黑体" w:eastAsia="黑体" w:hAnsi="黑体"/>
          <w:b/>
          <w:bCs/>
          <w:sz w:val="28"/>
          <w:szCs w:val="28"/>
        </w:rPr>
        <w:t xml:space="preserve">7.1 理论与技术可行性</w:t>
      </w:r>
    </w:p>
    <w:p>
      <w:pPr>
        <w:spacing w:after="120" w:line="360"/>
        <w:ind w:firstLine="480"/>
        <w:jc w:val="both"/>
      </w:pPr>
      <w:r>
        <w:rPr>
          <w:rFonts w:ascii="宋体" w:cs="宋体" w:eastAsia="宋体" w:hAnsi="宋体"/>
          <w:b w:val="false"/>
          <w:bCs w:val="false"/>
          <w:sz w:val="24"/>
          <w:szCs w:val="24"/>
        </w:rPr>
        <w:t xml:space="preserve">铁死亡和细胞衰老是当前CIRI研究的两个热点领域，二者交互作用（铁衰老）是前沿交叉方向，具有坚实理论基础。铁死亡在CIRI中的作用已被众多实验室独立验证[3,7,13]；细胞衰老参与缺血后脑损伤慢性化也得到越来越多证据支持[8]；4-HNE作为脂质过氧化产物诱导衰老的效应已在多种细胞类型中得到证实[2]；Nrf2作为二者共同防御枢纽的地位已经确立[12]。本项目组前期通过4个脑缺血数据集整合分析，证实了铁衰老转录特征在脑缺血中的稳健存在：铁衰老评分在4个数据集中均表现出最大的疾病-对照效应量，五基因CIRI-铁衰老签名在3个独立数据集中得到验证，1000次置换检验证实基因集具有高度特异性（P = 0.001）。网络药理学分析预测了BCP靶点与铁死亡调控网络的高度拓扑关联（超几何检验P = 2.48 × 10⁻⁴³）。</w:t>
      </w:r>
    </w:p>
    <w:p>
      <w:pPr>
        <w:spacing w:after="120" w:line="360"/>
        <w:ind w:firstLine="480"/>
        <w:jc w:val="both"/>
      </w:pPr>
      <w:r>
        <w:rPr>
          <w:rFonts w:ascii="宋体" w:cs="宋体" w:eastAsia="宋体" w:hAnsi="宋体"/>
          <w:b w:val="false"/>
          <w:bCs w:val="false"/>
          <w:sz w:val="24"/>
          <w:szCs w:val="24"/>
        </w:rPr>
        <w:t xml:space="preserve">实验材料与技术均成熟可靠。广西道地桂艾来源明确，BCP标准品为商品化试剂，AAV载体和Nrf2相关工具鼠均已商用可购。项目涉及的小鼠MCAO/R模型、原代神经细胞培养、Western Blot、qRT-PCR、免疫荧光共定位等均为成熟常规技术。铁死亡和衰老的特异性检测方法已有大量文献支持，试剂盒商品化程度高。行为学检测均为神经科学研究的标准范式。</w:t>
      </w:r>
    </w:p>
    <w:p>
      <w:pPr>
        <w:pStyle w:val="Heading2"/>
        <w:spacing w:after="160" w:before="280"/>
      </w:pPr>
      <w:r>
        <w:rPr>
          <w:rFonts w:ascii="黑体" w:cs="黑体" w:eastAsia="黑体" w:hAnsi="黑体"/>
          <w:b/>
          <w:bCs/>
          <w:sz w:val="28"/>
          <w:szCs w:val="28"/>
        </w:rPr>
        <w:t xml:space="preserve">7.2 前期工作基础</w:t>
      </w:r>
    </w:p>
    <w:p>
      <w:pPr>
        <w:spacing w:after="120" w:line="360"/>
        <w:ind w:firstLine="480"/>
        <w:jc w:val="both"/>
      </w:pPr>
      <w:r>
        <w:rPr>
          <w:rFonts w:ascii="宋体" w:cs="宋体" w:eastAsia="宋体" w:hAnsi="宋体"/>
          <w:b w:val="false"/>
          <w:bCs w:val="false"/>
          <w:sz w:val="24"/>
          <w:szCs w:val="24"/>
        </w:rPr>
        <w:t xml:space="preserve">本团队前期已在脑缺血、铁死亡和天然药物神经保护领域积累了扎实研究基础。在计算生物学层面，已完成4个脑缺血数据集的整合分析，建立了CIRI-铁衰老五基因签名，验证了BCP靶点与铁死亡调控网络的高度拓扑富集，构建了核心PPI子网，完成了免疫浸润分析及WGCNA共表达网络验证。在实验层面，项目组已建立小鼠MCAO/R模型和原代神经细胞培养体系。Hu等[3]已证实BCP通过Nrf2/HO-1通路减轻大鼠脑缺血再灌注损伤，为本项目延伸研究提供了直接前期支持。项目组与广西中医药大学中药鉴定教研室、广西药用植物园等单位建立了良好合作关系，可为桂艾药材来源鉴定和成分分析提供技术支持。</w:t>
      </w:r>
    </w:p>
    <w:p>
      <w:pPr>
        <w:pStyle w:val="Heading1"/>
        <w:spacing w:after="200" w:before="360"/>
      </w:pPr>
      <w:r>
        <w:rPr>
          <w:rFonts w:ascii="黑体" w:cs="黑体" w:eastAsia="黑体" w:hAnsi="黑体"/>
          <w:b/>
          <w:bCs/>
          <w:sz w:val="32"/>
          <w:szCs w:val="32"/>
        </w:rPr>
        <w:t xml:space="preserve">八、特色与创新之处</w:t>
      </w:r>
    </w:p>
    <w:p>
      <w:pPr>
        <w:pStyle w:val="Heading2"/>
        <w:spacing w:after="160" w:before="280"/>
      </w:pPr>
      <w:r>
        <w:rPr>
          <w:rFonts w:ascii="黑体" w:cs="黑体" w:eastAsia="黑体" w:hAnsi="黑体"/>
          <w:b/>
          <w:bCs/>
          <w:sz w:val="28"/>
          <w:szCs w:val="28"/>
        </w:rPr>
        <w:t xml:space="preserve">8.1 理论创新：提出CIRI中铁依赖性SIPS新假说及4-HNE机制选择性新视角</w:t>
      </w:r>
    </w:p>
    <w:p>
      <w:pPr>
        <w:spacing w:after="120" w:line="360"/>
        <w:ind w:firstLine="480"/>
        <w:jc w:val="both"/>
      </w:pPr>
      <w:r>
        <w:rPr>
          <w:rFonts w:ascii="宋体" w:cs="宋体" w:eastAsia="宋体" w:hAnsi="宋体"/>
          <w:b w:val="false"/>
          <w:bCs w:val="false"/>
          <w:sz w:val="24"/>
          <w:szCs w:val="24"/>
        </w:rPr>
        <w:t xml:space="preserve">现有研究多将铁死亡和细胞衰老视为CIRI中两个独立过程，分别关注急性期和慢性期，对二者因果联系缺乏系统探讨。铁死亡驱动衰老的概念主要在肿瘤和自然衰老领域提出，在缺血性脑损伤中研究几近空白。特别是4-HNE作用的机制选择性——为何在某些情况下激活Nrf2防御、另一些情况下驱动p53衰老——这一关键问题尚未解答。本项目率先提出CIRI半暗带中存在缺血诱导的铁依赖性SIPS假说，并进一步提出4-HNE作用存在时间依赖性机制转换的新视角：早期通过Keap1修饰激活Nrf2防御，晚期超过阈值后通过DDR-p53通路转向衰老。这一假说将CIRI急性期损伤与慢性期恶化机制贯通，为理解缺血性脑损伤慢性化提供新视角，也为寻找同时干预急慢性阶段的治疗靶点开辟新思路。</w:t>
      </w:r>
    </w:p>
    <w:p>
      <w:pPr>
        <w:pStyle w:val="Heading2"/>
        <w:spacing w:after="160" w:before="280"/>
      </w:pPr>
      <w:r>
        <w:rPr>
          <w:rFonts w:ascii="黑体" w:cs="黑体" w:eastAsia="黑体" w:hAnsi="黑体"/>
          <w:b/>
          <w:bCs/>
          <w:sz w:val="28"/>
          <w:szCs w:val="28"/>
        </w:rPr>
        <w:t xml:space="preserve">8.2 机制创新：揭示BCP通过Nrf2双阻断铁死亡-衰老的新机制</w:t>
      </w:r>
    </w:p>
    <w:p>
      <w:pPr>
        <w:spacing w:after="120" w:line="360"/>
        <w:ind w:firstLine="480"/>
        <w:jc w:val="both"/>
      </w:pPr>
      <w:r>
        <w:rPr>
          <w:rFonts w:ascii="宋体" w:cs="宋体" w:eastAsia="宋体" w:hAnsi="宋体"/>
          <w:b w:val="false"/>
          <w:bCs w:val="false"/>
          <w:sz w:val="24"/>
          <w:szCs w:val="24"/>
        </w:rPr>
        <w:t xml:space="preserve">BCP的神经保护作用已有报道，但多停留在宏观药效层面，对其细胞分子机制解析不够深入；现有研究多关注单一靶点或单一病理过程，缺乏对信号调控网络的系统认识；BCP对铁死亡和衰老的研究多为独立报道，尚未将二者联系起来。本项目系统解析BCP通过激活Nrf2通路协同抑制铁死亡与铁依赖性SIPS的分子机制，明确BCP→Nrf2→GPX4↑→4-HNE↓→阻断p53衰老转向→SLC7A11↑完整信号轴，验证BCP对4-HNE-p53-SLC7A11正反馈环路的调控。首次阐明壮瑶药桂艾活性成分BCP通龙路火路、除毒邪功效的铁衰老干预科学内涵，为天然小分子同时靶向急性死亡和慢性衰老提供新的作用范式。</w:t>
      </w:r>
    </w:p>
    <w:p>
      <w:pPr>
        <w:pStyle w:val="Heading2"/>
        <w:spacing w:after="160" w:before="280"/>
      </w:pPr>
      <w:r>
        <w:rPr>
          <w:rFonts w:ascii="黑体" w:cs="黑体" w:eastAsia="黑体" w:hAnsi="黑体"/>
          <w:b/>
          <w:bCs/>
          <w:sz w:val="28"/>
          <w:szCs w:val="28"/>
        </w:rPr>
        <w:t xml:space="preserve">8.3 模式创新：构建壮瑶药-铁衰老的整合研究新模式</w:t>
      </w:r>
    </w:p>
    <w:p>
      <w:pPr>
        <w:spacing w:after="120" w:line="360"/>
        <w:ind w:firstLine="480"/>
        <w:jc w:val="both"/>
      </w:pPr>
      <w:r>
        <w:rPr>
          <w:rFonts w:ascii="宋体" w:cs="宋体" w:eastAsia="宋体" w:hAnsi="宋体"/>
          <w:b w:val="false"/>
          <w:bCs w:val="false"/>
          <w:sz w:val="24"/>
          <w:szCs w:val="24"/>
        </w:rPr>
        <w:t xml:space="preserve">民族药现代化研究常停留在成分鉴定和活性筛选层面，与前沿生物学问题结合不够紧密；传统网络药理学研究多为描述性分析，与后续实验验证衔接不够紧密。本项目构建基于壮瑶医药理论的道地药材-功效-核心成分-铁衰老靶点-信号通路精准整合研究模式，将壮瑶医“通龙路火路、除毒邪”传统功效与铁死亡-衰老交互的现代前沿生物学有机结合。明确BCP单体与桂艾挥发油分别代表“精准机制”与“整体观”两个研究层面，避免单体研究脱离民族药整体特色的常见问题。前期网药分析的系统布局为后续实验提供了明确靶点和通路方向，体现了从计算预测到实验验证的转化医学研究思路，为民族药现代化研究提供可复制的范例。</w:t>
      </w:r>
    </w:p>
    <w:p>
      <w:pPr>
        <w:pStyle w:val="Heading1"/>
        <w:spacing w:after="200" w:before="360"/>
      </w:pPr>
      <w:r>
        <w:rPr>
          <w:rFonts w:ascii="黑体" w:cs="黑体" w:eastAsia="黑体" w:hAnsi="黑体"/>
          <w:b/>
          <w:bCs/>
          <w:sz w:val="32"/>
          <w:szCs w:val="32"/>
        </w:rPr>
        <w:t xml:space="preserve">九、年度研究计划及预期研究成果</w:t>
      </w:r>
    </w:p>
    <w:p>
      <w:pPr>
        <w:pStyle w:val="Heading2"/>
        <w:spacing w:after="160" w:before="280"/>
      </w:pPr>
      <w:r>
        <w:rPr>
          <w:rFonts w:ascii="黑体" w:cs="黑体" w:eastAsia="黑体" w:hAnsi="黑体"/>
          <w:b/>
          <w:bCs/>
          <w:sz w:val="28"/>
          <w:szCs w:val="28"/>
        </w:rPr>
        <w:t xml:space="preserve">9.1 第一年（2027年）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建立小鼠MCAO/R模型并优化方法，确保稳定性和重复性。</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完成铁依赖性SIPS的时空定位研究（5个时间点、3个脑区、3种细胞类型）。</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完成4-HNE机制选择性时序验证（Keap1修饰vs p53修饰动力学）。</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完成p53关键修饰位点鉴定及ACSL4双向验证的病毒包装与注射。</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完成桂艾挥发油提取与GC-MS成分分析。</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预期成果：发表SCI论文1篇，申请发明专利1项，培养硕士研究生1名。</w:t>
      </w:r>
    </w:p>
    <w:p>
      <w:pPr>
        <w:pStyle w:val="Heading2"/>
        <w:spacing w:after="160" w:before="280"/>
      </w:pPr>
      <w:r>
        <w:rPr>
          <w:rFonts w:ascii="黑体" w:cs="黑体" w:eastAsia="黑体" w:hAnsi="黑体"/>
          <w:b/>
          <w:bCs/>
          <w:sz w:val="28"/>
          <w:szCs w:val="28"/>
        </w:rPr>
        <w:t xml:space="preserve">9.2 第二年（2028年）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建立稳定的体外铁依赖性SIPS细胞模型并完成铁依赖性严格验证。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完成BCP抗铁依赖性SIPS药效评价及Nrf2依赖性细胞水平验证。</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完成BCP对4-HNE-p53-SLC7A11分子轴调控的系统检测。</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完成C11-BODIPY+SA-β-gal双重染色共定位验证及分子对接/CETSA探索。</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预期成果：发表SCI论文1-2篇，培养硕士研究生1名。</w:t>
      </w:r>
    </w:p>
    <w:p>
      <w:pPr>
        <w:pStyle w:val="Heading2"/>
        <w:spacing w:after="160" w:before="280"/>
      </w:pPr>
      <w:r>
        <w:rPr>
          <w:rFonts w:ascii="黑体" w:cs="黑体" w:eastAsia="黑体" w:hAnsi="黑体"/>
          <w:b/>
          <w:bCs/>
          <w:sz w:val="28"/>
          <w:szCs w:val="28"/>
        </w:rPr>
        <w:t xml:space="preserve">9.3 第三年（2029年）</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完成BCP给药剂量预实验及整体药效评价（短期指标+远期行为学）。</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完成Nrf2依赖性双重验证（ML385 + AAV-shNrf2）。</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完成脑组织铁依赖性SIPS标志物检测及桂艾挥发油与BCP药效比较。</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数据整理、统计分析、论文撰写与项目结题验收。</w:t>
      </w:r>
    </w:p>
    <w:p>
      <w:pPr>
        <w:spacing w:after="80" w:line="340"/>
        <w:ind w:left="720" w:hanging="360"/>
      </w:pPr>
      <w:r>
        <w:rPr>
          <w:rFonts w:ascii="宋体" w:cs="宋体" w:eastAsia="宋体" w:hAnsi="宋体"/>
          <w:sz w:val="24"/>
          <w:szCs w:val="24"/>
        </w:rPr>
        <w:t xml:space="preserve">• </w:t>
      </w:r>
      <w:r>
        <w:rPr>
          <w:rFonts w:ascii="宋体" w:cs="宋体" w:eastAsia="宋体" w:hAnsi="宋体"/>
          <w:sz w:val="24"/>
          <w:szCs w:val="24"/>
        </w:rPr>
        <w:t xml:space="preserve">预期成果：发表高影响力SCI论文1篇，培养研究生2-3名，申请发明专利1项。</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宋体" w:cs="宋体" w:eastAsia="宋体" w:hAnsi="宋体"/>
        <w:i/>
        <w:iCs/>
        <w:sz w:val="18"/>
        <w:szCs w:val="18"/>
      </w:rPr>
      <w:t xml:space="preserve">β-石竹烯靶向Nrf2抑制铁依赖性SIPS改善CIRI研究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黑体" w:cs="黑体" w:eastAsia="黑体" w:hAnsi="黑体"/>
      <w:b/>
      <w:bCs/>
      <w:sz w:val="32"/>
      <w:szCs w:val="32"/>
    </w:rPr>
  </w:style>
  <w:style w:type="paragraph" w:styleId="Heading2">
    <w:name w:val="Heading 2"/>
    <w:basedOn w:val="Normal"/>
    <w:next w:val="Normal"/>
    <w:qFormat/>
    <w:pPr>
      <w:spacing w:after="160" w:before="280"/>
      <w:outlineLvl w:val="1"/>
    </w:pPr>
    <w:rPr>
      <w:rFonts w:ascii="黑体" w:cs="黑体" w:eastAsia="黑体" w:hAnsi="黑体"/>
      <w:b/>
      <w:bCs/>
      <w:sz w:val="28"/>
      <w:szCs w:val="28"/>
    </w:rPr>
  </w:style>
  <w:style w:type="paragraph" w:styleId="Heading3">
    <w:name w:val="Heading 3"/>
    <w:basedOn w:val="Normal"/>
    <w:next w:val="Normal"/>
    <w:qFormat/>
    <w:pPr>
      <w:spacing w:after="120" w:before="200"/>
      <w:outlineLvl w:val="2"/>
    </w:pPr>
    <w:rPr>
      <w:rFonts w:ascii="黑体" w:cs="黑体" w:eastAsia="黑体" w:hAnsi="黑体"/>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2026-07-14T15:23:05.326Z</dcterms:created>
  <dcterms:modified xsi:type="dcterms:W3CDTF">2026-07-14T15:23:05.332Z</dcterms:modified>
</cp:coreProperties>
</file>

<file path=docProps/custom.xml><?xml version="1.0" encoding="utf-8"?>
<Properties xmlns="http://schemas.openxmlformats.org/officeDocument/2006/custom-properties" xmlns:vt="http://schemas.openxmlformats.org/officeDocument/2006/docPropsVTypes"/>
</file>