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1329A">
      <w:pPr>
        <w:keepNext w:val="0"/>
        <w:keepLines w:val="0"/>
        <w:widowControl/>
        <w:suppressLineNumbers w:val="0"/>
        <w:spacing w:before="0" w:beforeAutospacing="1" w:after="200" w:afterAutospacing="0" w:line="360" w:lineRule="auto"/>
        <w:ind w:left="0" w:right="0"/>
        <w:jc w:val="center"/>
        <w:rPr>
          <w:rFonts w:hint="default" w:ascii="Times New Roman" w:hAnsi="Times New Roman" w:eastAsia="等线" w:cs="Times New Roman"/>
          <w:b w:val="0"/>
          <w:bCs w:val="0"/>
          <w:sz w:val="24"/>
          <w:szCs w:val="24"/>
          <w:woUserID w:val="2"/>
        </w:rPr>
      </w:pPr>
      <w:r>
        <w:rPr>
          <w:rFonts w:hint="default" w:ascii="Times New Roman" w:hAnsi="Times New Roman" w:eastAsia="等线" w:cs="Times New Roman"/>
          <w:b w:val="0"/>
          <w:bCs w:val="0"/>
          <w:kern w:val="0"/>
          <w:sz w:val="24"/>
          <w:szCs w:val="24"/>
          <w:lang w:val="en-US" w:eastAsia="zh-CN" w:bidi="ar"/>
          <w:woUserID w:val="2"/>
        </w:rPr>
        <w:t>桂艾活性成分β-石竹烯靶向铁衰老轴抗脑缺血再灌注损伤机制研究</w:t>
      </w:r>
    </w:p>
    <w:p w14:paraId="745A5D8F">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2"/>
          <w:szCs w:val="32"/>
          <w:woUserID w:val="2"/>
        </w:rPr>
      </w:pPr>
      <w:r>
        <w:rPr>
          <w:rFonts w:hint="default" w:ascii="Times New Roman" w:hAnsi="Times New Roman" w:eastAsia="等线" w:cs="Times New Roman"/>
          <w:b/>
          <w:bCs/>
          <w:kern w:val="0"/>
          <w:sz w:val="32"/>
          <w:szCs w:val="32"/>
          <w:lang w:val="en-US" w:eastAsia="zh-CN" w:bidi="ar"/>
          <w:woUserID w:val="2"/>
        </w:rPr>
        <w:t>（一）立项依据与研究内容</w:t>
      </w:r>
    </w:p>
    <w:p w14:paraId="5B0ECFE1">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0"/>
          <w:szCs w:val="30"/>
          <w:woUserID w:val="2"/>
        </w:rPr>
      </w:pPr>
      <w:r>
        <w:rPr>
          <w:rFonts w:hint="default" w:ascii="Times New Roman" w:hAnsi="Times New Roman" w:eastAsia="等线" w:cs="Times New Roman"/>
          <w:b/>
          <w:bCs/>
          <w:kern w:val="0"/>
          <w:sz w:val="30"/>
          <w:szCs w:val="30"/>
          <w:lang w:val="en-US" w:eastAsia="zh-CN" w:bidi="ar"/>
          <w:woUserID w:val="2"/>
        </w:rPr>
        <w:t>1.立项依据</w:t>
      </w:r>
    </w:p>
    <w:p w14:paraId="4219288B">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1.1脑缺血再灌注损伤是急性缺血性脑卒中治疗亟待突破的瓶颈</w:t>
      </w:r>
    </w:p>
    <w:p w14:paraId="7BEB2BA4">
      <w:pPr>
        <w:keepNext w:val="0"/>
        <w:keepLines w:val="0"/>
        <w:widowControl/>
        <w:suppressLineNumbers w:val="0"/>
        <w:spacing w:before="0" w:beforeAutospacing="1" w:after="200" w:afterAutospacing="0" w:line="360" w:lineRule="auto"/>
        <w:ind w:left="0" w:leftChars="0" w:right="0" w:firstLine="480" w:firstLineChars="20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脑缺血再灌注损伤（cerebral ischemia/reperfusion injury,CIRI）是指脑血流恢复后，缺血区域组织因氧化应激、兴奋性毒性、钙超载及炎症级联反应而遭受继发性加重的病理现象</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Qin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。静脉溶栓（rt-PA/TNK）是目前FDA批准的急性缺血性脑卒中主要药物治疗手段，但其治疗时间窗极为狭窄（发病后4.5小时内），且伴出血性转化风险</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Ma et al.,2019</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大量患者因错过时间窗无法接受溶栓治疗；即便成功再通，缺血半暗带细胞仍可在再灌注后数小时至数天内经历进行性损伤，导致远期神经功能障碍。因此，寻找能够突破治疗时间窗、同时覆盖急性损伤与慢性修复障碍的神经保护策略，是脑血管病领域亟待解决的关键科学问题。</w:t>
      </w:r>
    </w:p>
    <w:p w14:paraId="666B20DA">
      <w:pPr>
        <w:keepNext w:val="0"/>
        <w:keepLines w:val="0"/>
        <w:widowControl/>
        <w:suppressLineNumbers w:val="0"/>
        <w:spacing w:before="0" w:beforeAutospacing="1" w:after="200" w:afterAutospacing="0" w:line="360" w:lineRule="auto"/>
        <w:ind w:left="0" w:leftChars="0" w:right="0" w:firstLine="480" w:firstLineChars="20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缺血半暗带是CIRI干预的核心靶区。半暗带细胞虽未发生不可逆坏死，但处于持续氧化应激和代谢紊乱状态，其命运取决于损伤压力与内源性防御系统的动态平衡。近年来，铁死亡（ferroptosis）被证实是CIRI急性期神经元死亡的关键执行方式</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Guo et al.,2023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；而细胞衰老（cellular senescence）及其分泌的衰老相关分泌表型（senescence-associated secretory phenotype,SASP）则被认为是半暗带慢性化、神经炎症迁延和修复障碍的重要推手</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Liu et al.,2026a</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。然而，铁死亡与细胞衰老在CIRI中是否构成因果驱动的连续病理事件，目前尚缺乏系统论证。</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拟以这一前沿交叉问题为切入点，以广西壮药艾叶（Artemisia argyi）及其挥发油主成分β-石竹烯（β-caryophyllene,BCP）为分子探针，阐明</w:t>
      </w:r>
      <w:r>
        <w:rPr>
          <w:rFonts w:hint="default" w:ascii="Times New Roman" w:hAnsi="Times New Roman" w:eastAsia="等线" w:cs="Times New Roman"/>
          <w:kern w:val="0"/>
          <w:sz w:val="24"/>
          <w:szCs w:val="24"/>
          <w:lang w:val="en-US" w:eastAsia="zh" w:bidi="ar"/>
          <w:woUserID w:val="2"/>
        </w:rPr>
        <w:t>由</w:t>
      </w:r>
      <w:r>
        <w:rPr>
          <w:rFonts w:hint="default" w:ascii="Times New Roman" w:hAnsi="Times New Roman" w:eastAsia="等线" w:cs="Times New Roman"/>
          <w:kern w:val="0"/>
          <w:sz w:val="24"/>
          <w:szCs w:val="24"/>
          <w:lang w:val="en-US" w:eastAsia="zh-CN" w:bidi="ar"/>
          <w:woUserID w:val="2"/>
        </w:rPr>
        <w:t>铁死亡驱动的</w:t>
      </w:r>
      <w:r>
        <w:rPr>
          <w:rFonts w:hint="default" w:ascii="Times New Roman" w:hAnsi="Times New Roman" w:eastAsia="等线" w:cs="Times New Roman"/>
          <w:kern w:val="0"/>
          <w:sz w:val="24"/>
          <w:szCs w:val="24"/>
          <w:lang w:val="en-US" w:eastAsia="zh" w:bidi="ar"/>
          <w:woUserID w:val="2"/>
        </w:rPr>
        <w:t>细胞</w:t>
      </w:r>
      <w:r>
        <w:rPr>
          <w:rFonts w:hint="default" w:ascii="Times New Roman" w:hAnsi="Times New Roman" w:eastAsia="等线" w:cs="Times New Roman"/>
          <w:kern w:val="0"/>
          <w:sz w:val="24"/>
          <w:szCs w:val="24"/>
          <w:lang w:val="en-US" w:eastAsia="zh-CN" w:bidi="ar"/>
          <w:woUserID w:val="2"/>
        </w:rPr>
        <w:t>衰老（ferro-senescence）在CIRI半暗带中的形成机制及干预策略。</w:t>
      </w:r>
    </w:p>
    <w:p w14:paraId="644D57EC">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1.2铁死亡是CIRI急性期神经元损伤的关键执行者</w:t>
      </w:r>
    </w:p>
    <w:p w14:paraId="6183CFBB">
      <w:pPr>
        <w:keepNext w:val="0"/>
        <w:keepLines w:val="0"/>
        <w:widowControl/>
        <w:suppressLineNumbers w:val="0"/>
        <w:spacing w:before="0" w:beforeAutospacing="1" w:after="200" w:afterAutospacing="0" w:line="360" w:lineRule="auto"/>
        <w:ind w:left="0" w:leftChars="0" w:right="0" w:firstLine="480" w:firstLineChars="20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铁死亡是2012年被命名的一种铁依赖性、脂质过氧化驱动的调节性细胞死亡，其形态学和生化特征均区别于凋亡、坏死及自噬</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Dixon et al.,2012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。核心机制为：含多不饱和脂肪酸的磷脂在铁催化下发生过氧化，生成有毒脂质过氧化物；当以谷胱甘肽过氧化物酶4，GPX4为核心</w:t>
      </w:r>
      <w:r>
        <w:rPr>
          <w:rFonts w:hint="default" w:ascii="Times New Roman" w:hAnsi="Times New Roman" w:eastAsia="等线" w:cs="Times New Roman"/>
          <w:kern w:val="0"/>
          <w:sz w:val="24"/>
          <w:szCs w:val="24"/>
          <w:lang w:val="en-US" w:eastAsia="zh" w:bidi="ar"/>
          <w:woUserID w:val="2"/>
        </w:rPr>
        <w:t>的</w:t>
      </w:r>
      <w:r>
        <w:rPr>
          <w:rFonts w:hint="default" w:ascii="Times New Roman" w:hAnsi="Times New Roman" w:eastAsia="等线" w:cs="Times New Roman"/>
          <w:kern w:val="0"/>
          <w:sz w:val="24"/>
          <w:szCs w:val="24"/>
          <w:lang w:val="en-US" w:eastAsia="zh-CN" w:bidi="ar"/>
          <w:woUserID w:val="2"/>
        </w:rPr>
        <w:t>抗氧化系统失能时，脂质过氧化物堆积至致死阈值，导致膜结构崩解</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Stockwell et al.,2017</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。其关键调控轴包括System Xc</w:t>
      </w:r>
      <w:r>
        <w:rPr>
          <w:rFonts w:hint="default" w:ascii="Times New Roman" w:hAnsi="Times New Roman" w:eastAsia="等线" w:cs="Times New Roman"/>
          <w:kern w:val="0"/>
          <w:sz w:val="24"/>
          <w:szCs w:val="24"/>
          <w:vertAlign w:val="superscript"/>
          <w:lang w:val="en-US" w:eastAsia="zh" w:bidi="ar"/>
          <w:woUserID w:val="2"/>
        </w:rPr>
        <w:t>-</w:t>
      </w:r>
      <w:r>
        <w:rPr>
          <w:rFonts w:hint="default" w:ascii="Times New Roman" w:hAnsi="Times New Roman" w:eastAsia="等线" w:cs="Times New Roman"/>
          <w:kern w:val="0"/>
          <w:sz w:val="24"/>
          <w:szCs w:val="24"/>
          <w:lang w:val="en-US" w:eastAsia="zh-CN" w:bidi="ar"/>
          <w:woUserID w:val="2"/>
        </w:rPr>
        <w:t>/GPX4抗氧化轴、ACSL4/LPCAT3脂质重塑轴、铁代谢调控轴及NAD(P)H/FSP1/CoQ10旁路防御轴。</w:t>
      </w:r>
    </w:p>
    <w:p w14:paraId="6BFDC2C4">
      <w:pPr>
        <w:keepNext w:val="0"/>
        <w:keepLines w:val="0"/>
        <w:widowControl/>
        <w:suppressLineNumbers w:val="0"/>
        <w:spacing w:before="0" w:beforeAutospacing="1" w:after="200" w:afterAutospacing="0" w:line="360" w:lineRule="auto"/>
        <w:ind w:left="0" w:leftChars="0" w:right="0" w:firstLine="480" w:firstLineChars="200"/>
        <w:jc w:val="both"/>
        <w:rPr>
          <w:rFonts w:hint="default" w:ascii="Times New Roman" w:hAnsi="Times New Roman" w:eastAsia="等线" w:cs="Times New Roman"/>
          <w:b/>
          <w:bCs/>
          <w:sz w:val="24"/>
          <w:szCs w:val="24"/>
          <w:woUserID w:val="2"/>
        </w:rPr>
      </w:pPr>
      <w:r>
        <w:rPr>
          <w:rFonts w:hint="default" w:ascii="Times New Roman" w:hAnsi="Times New Roman" w:eastAsia="等线" w:cs="Times New Roman"/>
          <w:kern w:val="0"/>
          <w:sz w:val="24"/>
          <w:szCs w:val="24"/>
          <w:lang w:val="en-US" w:eastAsia="zh-CN" w:bidi="ar"/>
          <w:woUserID w:val="2"/>
        </w:rPr>
        <w:t>CIRI为铁死亡的发生提供了</w:t>
      </w:r>
      <w:r>
        <w:rPr>
          <w:rFonts w:hint="default" w:ascii="Times New Roman" w:hAnsi="Times New Roman" w:eastAsia="等线" w:cs="Times New Roman"/>
          <w:kern w:val="0"/>
          <w:sz w:val="24"/>
          <w:szCs w:val="24"/>
          <w:lang w:val="en-US" w:eastAsia="zh" w:bidi="ar"/>
          <w:woUserID w:val="2"/>
        </w:rPr>
        <w:t>契机</w:t>
      </w:r>
      <w:r>
        <w:rPr>
          <w:rFonts w:hint="default" w:ascii="Times New Roman" w:hAnsi="Times New Roman" w:eastAsia="等线" w:cs="Times New Roman"/>
          <w:kern w:val="0"/>
          <w:sz w:val="24"/>
          <w:szCs w:val="24"/>
          <w:lang w:val="en-US" w:eastAsia="zh-CN" w:bidi="ar"/>
          <w:woUserID w:val="2"/>
        </w:rPr>
        <w:t>：缺血期能量衰竭导致谷氨酸兴奋性毒性、谷胱甘肽（GSH）耗竭；再灌注期大量氧自由基爆发、酸中毒恢复后游离铁通过转铁蛋白受体（TFR1）内流及铁蛋白降解释放；GPX4活性下降共同导致脂质活性氧（lipid ROS）和4-羟基壬烯醛（4-HNE）等毒性醛类急剧升高</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Guo et al.,2023;拓启臻和雷平,2024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。多项研究在啮齿类MCAO/R模型中观察到典型铁死亡特征：线粒体皱缩、膜密度增高、GSH/GPX4下调、ACSL4上调、4-HNE和丙二醛（MDA）堆积</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李佳,2023;潘单依,2023;佘旭,2023;张鹏宇,2023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。铁死亡抑制剂（如DFO、Ferrostatin-1、Liproxstatin-1）可显著减小梗死体积、改善神经功能</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易欣,2024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t>
      </w:r>
      <w:r>
        <w:rPr>
          <w:rFonts w:hint="default" w:ascii="Times New Roman" w:hAnsi="Times New Roman" w:eastAsia="等线" w:cs="Times New Roman"/>
          <w:b/>
          <w:bCs/>
          <w:kern w:val="0"/>
          <w:sz w:val="24"/>
          <w:szCs w:val="24"/>
          <w:lang w:val="en-US" w:eastAsia="zh-CN" w:bidi="ar"/>
          <w:woUserID w:val="2"/>
        </w:rPr>
        <w:t>然而，现有研究多将铁死亡视为急性期一次性杀伤事件；亚致死剂量铁死亡应激是否驱动细胞进入其他应激状态，进而造成慢性损害，尚缺乏深入探讨。</w:t>
      </w:r>
    </w:p>
    <w:p w14:paraId="356D5670">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1.3细胞衰老驱动缺血半暗带慢性化并通过SASP扩大损伤</w:t>
      </w:r>
    </w:p>
    <w:p w14:paraId="0651635C">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细胞衰老是细胞在应激因素作用下退出细胞周期、进入稳定增殖停滞状态，并伴随广泛基因表达和代谢重编程的病理过程</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Tchkonia et al.,2013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。衰老细胞最具破坏性的特征是分泌大量促炎因子（IL-6、IL-1β、TNF-α）、趋化因子和基质蛋白酶，形成SASP，通过旁分泌方式重塑组织微环境。应激性早熟衰老（stress-induced premature senescence,SIPS）可由氧化应激、DNA损伤、癌基因激活等触发，核心分子通路包括p53/p21CIP1轴和p16INK4a/Rb轴。</w:t>
      </w:r>
    </w:p>
    <w:p w14:paraId="3F4FB4C8">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近年研究修正了</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细胞衰老仅与机体老化相关”的传统认知。Liu等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Liu et al.,2026a</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指出，缺血性脑卒中后神经元、星形胶质细胞、小胶质细胞、内皮细胞及周细胞均可出现衰老样改变，其时空动态呈连续性而非二元性。Baixauli-Martín等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Baixauli-Martín et al.,2025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在大鼠MCAO模型中证实，再灌注后24 h即可检测到SASP因子（IL-6、IL-1β、TNF）升高，p16表达在神经元和小胶质细胞/巨噬细胞中显著增加，SA-β-gal在梗死组织中累积，且DNA损伤标志物Chk1/Chk2及核纤层蛋白Lamin B1在14天发生显著改变。Chen等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Chen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认为，</w:t>
      </w:r>
      <w:r>
        <w:rPr>
          <w:rFonts w:hint="default" w:ascii="Times New Roman" w:hAnsi="Times New Roman" w:eastAsia="等线" w:cs="Times New Roman"/>
          <w:b/>
          <w:bCs/>
          <w:kern w:val="0"/>
          <w:sz w:val="24"/>
          <w:szCs w:val="24"/>
          <w:lang w:val="en-US" w:eastAsia="zh-CN" w:bidi="ar"/>
          <w:woUserID w:val="2"/>
        </w:rPr>
        <w:t>缺血诱导的衰老细胞通过SASP招募免疫细胞、激活胶质细胞，形成慢性炎症微环境，破坏血脑屏障并扩大损伤范围</w:t>
      </w:r>
      <w:r>
        <w:rPr>
          <w:rFonts w:hint="default" w:ascii="Times New Roman" w:hAnsi="Times New Roman" w:eastAsia="等线" w:cs="Times New Roman"/>
          <w:kern w:val="0"/>
          <w:sz w:val="24"/>
          <w:szCs w:val="24"/>
          <w:lang w:val="en-US" w:eastAsia="zh-CN" w:bidi="ar"/>
          <w:woUserID w:val="2"/>
        </w:rPr>
        <w:t>。靶向清除衰老细胞的senolytic疗法可减小梗死体积并改善神经功能</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 et al.,2024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t>
      </w:r>
      <w:r>
        <w:rPr>
          <w:rFonts w:hint="default" w:ascii="Times New Roman" w:hAnsi="Times New Roman" w:eastAsia="等线" w:cs="Times New Roman"/>
          <w:b/>
          <w:bCs/>
          <w:kern w:val="0"/>
          <w:sz w:val="24"/>
          <w:szCs w:val="24"/>
          <w:lang w:val="en-US" w:eastAsia="zh-CN" w:bidi="ar"/>
          <w:woUserID w:val="2"/>
        </w:rPr>
        <w:t>然而，脑缺血后细胞衰老的上游触发因素，特别是其与铁死亡的因果关联，尚未阐明。</w:t>
      </w:r>
    </w:p>
    <w:p w14:paraId="15AC271A">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1.4铁衰老：铁死亡与细胞衰老在CIRI中的交汇</w:t>
      </w:r>
    </w:p>
    <w:p w14:paraId="2E1020D8">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铁死亡与细胞衰老并非孤立事件，二者共享氧化应激、铁代谢紊乱和脂质过氧化三大上游驱动因素。2026年，Gao等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Gao et al.,2026</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正式提出</w:t>
      </w:r>
      <w:r>
        <w:rPr>
          <w:rFonts w:hint="default" w:ascii="Times New Roman" w:hAnsi="Times New Roman" w:eastAsia="等线" w:cs="Times New Roman"/>
          <w:b/>
          <w:bCs/>
          <w:kern w:val="0"/>
          <w:sz w:val="24"/>
          <w:szCs w:val="24"/>
          <w:lang w:val="en-US" w:eastAsia="zh-CN" w:bidi="ar"/>
          <w:woUserID w:val="2"/>
        </w:rPr>
        <w:t>铁衰老</w:t>
      </w:r>
      <w:r>
        <w:rPr>
          <w:rFonts w:hint="default" w:ascii="Times New Roman" w:hAnsi="Times New Roman" w:eastAsia="等线" w:cs="Times New Roman"/>
          <w:kern w:val="0"/>
          <w:sz w:val="24"/>
          <w:szCs w:val="24"/>
          <w:lang w:val="en-US" w:eastAsia="zh-CN" w:bidi="ar"/>
          <w:woUserID w:val="2"/>
        </w:rPr>
        <w:t>（ferro-aging）范式，认为年龄相关性铁蓄积通过铁催化ROS产生和脂质过氧化，最终诱导细胞衰老和铁死亡，形成正反馈环路；</w:t>
      </w:r>
      <w:r>
        <w:rPr>
          <w:rFonts w:hint="default" w:ascii="Times New Roman" w:hAnsi="Times New Roman" w:eastAsia="等线" w:cs="Times New Roman"/>
          <w:b/>
          <w:bCs/>
          <w:kern w:val="0"/>
          <w:sz w:val="24"/>
          <w:szCs w:val="24"/>
          <w:lang w:val="en-US" w:eastAsia="zh-CN" w:bidi="ar"/>
          <w:woUserID w:val="2"/>
        </w:rPr>
        <w:t>衰老细胞因获得铁死亡抵抗性而在组织中持续累积，加剧慢性炎症和组织功能障碍</w:t>
      </w:r>
      <w:r>
        <w:rPr>
          <w:rFonts w:hint="default" w:ascii="Times New Roman" w:hAnsi="Times New Roman" w:eastAsia="等线" w:cs="Times New Roman"/>
          <w:kern w:val="0"/>
          <w:sz w:val="24"/>
          <w:szCs w:val="24"/>
          <w:lang w:val="en-US" w:eastAsia="zh-CN" w:bidi="ar"/>
          <w:woUserID w:val="2"/>
        </w:rPr>
        <w:t>。同期，Liu等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Liu et al.,2026b</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在灵长类中证实，ACSL4介导的脂质过氧化是驱动铁衰老的核心执行者，维生素C可通过直接抑制ACSL4缓解多器官衰老表型</w:t>
      </w:r>
      <w:r>
        <w:rPr>
          <w:rFonts w:hint="default" w:ascii="Times New Roman" w:hAnsi="Times New Roman" w:eastAsia="等线" w:cs="Times New Roman"/>
          <w:kern w:val="0"/>
          <w:sz w:val="24"/>
          <w:szCs w:val="24"/>
          <w:lang w:val="en-US" w:eastAsia="zh" w:bidi="ar"/>
          <w:woUserID w:val="2"/>
        </w:rPr>
        <w:t>，构建并定义</w:t>
      </w:r>
      <w:r>
        <w:rPr>
          <w:rFonts w:hint="default" w:ascii="Times New Roman" w:hAnsi="Times New Roman" w:eastAsia="等线" w:cs="Times New Roman"/>
          <w:b/>
          <w:bCs/>
          <w:kern w:val="0"/>
          <w:sz w:val="24"/>
          <w:szCs w:val="24"/>
          <w:u w:val="none"/>
          <w:lang w:val="en-US" w:eastAsia="zh" w:bidi="ar"/>
          <w:woUserID w:val="2"/>
        </w:rPr>
        <w:t>铁衰老基因集</w:t>
      </w:r>
      <w:r>
        <w:rPr>
          <w:rFonts w:hint="default" w:ascii="Times New Roman" w:hAnsi="Times New Roman" w:eastAsia="等线" w:cs="Times New Roman"/>
          <w:kern w:val="0"/>
          <w:sz w:val="24"/>
          <w:szCs w:val="24"/>
          <w:lang w:val="en-US" w:eastAsia="zh" w:bidi="ar"/>
          <w:woUserID w:val="2"/>
        </w:rPr>
        <w:t>，申请人在此基因集的基础上沿用且拓展，进行生信分析</w:t>
      </w:r>
      <w:r>
        <w:rPr>
          <w:rFonts w:hint="default" w:ascii="Times New Roman" w:hAnsi="Times New Roman" w:eastAsia="等线" w:cs="Times New Roman"/>
          <w:kern w:val="0"/>
          <w:sz w:val="24"/>
          <w:szCs w:val="24"/>
          <w:lang w:val="en-US" w:eastAsia="zh-CN" w:bidi="ar"/>
          <w:woUserID w:val="2"/>
        </w:rPr>
        <w:t>。</w:t>
      </w:r>
    </w:p>
    <w:p w14:paraId="18011D5B">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4-HNE是ω-6多不饱和脂肪酸过氧化的主要毒性醛类产物，具有强亲电性，可与蛋白质半胱氨酸、组氨酸及赖氨酸残基形成共价加合物</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Uchida,2003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t>
      </w:r>
      <w:r>
        <w:rPr>
          <w:rFonts w:hint="default" w:ascii="Times New Roman" w:hAnsi="Times New Roman" w:eastAsia="等线" w:cs="Times New Roman"/>
          <w:b/>
          <w:bCs/>
          <w:kern w:val="0"/>
          <w:sz w:val="24"/>
          <w:szCs w:val="24"/>
          <w:lang w:val="en-US" w:eastAsia="zh-CN" w:bidi="ar"/>
          <w:woUserID w:val="2"/>
        </w:rPr>
        <w:t>4-HNE是连接铁死亡与细胞衰老的关键分子</w:t>
      </w:r>
      <w:r>
        <w:rPr>
          <w:rFonts w:hint="default" w:ascii="Times New Roman" w:hAnsi="Times New Roman" w:eastAsia="等线" w:cs="Times New Roman"/>
          <w:kern w:val="0"/>
          <w:sz w:val="24"/>
          <w:szCs w:val="24"/>
          <w:lang w:val="en-US" w:eastAsia="zh-CN" w:bidi="ar"/>
          <w:woUserID w:val="2"/>
        </w:rPr>
        <w:t>：一方面，4-HNE可通过共价修饰Keap1半胱氨酸残基激活Nrf2防御反应；另一方面，当4-HNE持续累积超过阈值时，可通过诱导氧化性DNA损伤激活DNA损伤响应（DDR）通路，导致p53 Ser15磷酸化并启动p21介导的细胞周期阻滞</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Monroe et al.,2025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。Jiang等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Jiang et al.,2015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发现p53可转录抑制SLC7A11，削弱GSH合成和抗氧化防御。惠文婷</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惠文婷,2024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在缺血诱导成纤维细胞衰老模型中证实，ALDH2活性降低导致4-HNE蓄积并诱导成纤维细胞衰老，提示4-HNE是缺血性细胞衰老的关键毒性分子。陈斯佳</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陈斯佳,2024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在血管平滑肌细胞中证明，木犀草素通过激活SLC7A11/GPX4轴抑制铁死亡并缓解衰老表型，p53升高伴随SLC7A11/GPX4下降，支持p53-SLC7A11负向调控环路。</w:t>
      </w:r>
    </w:p>
    <w:p w14:paraId="0C566014">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基于上述证据，</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提出</w:t>
      </w:r>
      <w:r>
        <w:rPr>
          <w:rFonts w:hint="default" w:ascii="Times New Roman" w:hAnsi="Times New Roman" w:eastAsia="等线" w:cs="Times New Roman"/>
          <w:b/>
          <w:bCs/>
          <w:kern w:val="0"/>
          <w:sz w:val="24"/>
          <w:szCs w:val="24"/>
          <w:lang w:val="en-US" w:eastAsia="zh-CN" w:bidi="ar"/>
          <w:woUserID w:val="2"/>
        </w:rPr>
        <w:t>4-HNE-p53-SLC7A11正反馈环路假说</w:t>
      </w:r>
      <w:r>
        <w:rPr>
          <w:rFonts w:hint="default" w:ascii="Times New Roman" w:hAnsi="Times New Roman" w:eastAsia="等线" w:cs="Times New Roman"/>
          <w:kern w:val="0"/>
          <w:sz w:val="24"/>
          <w:szCs w:val="24"/>
          <w:lang w:val="en-US" w:eastAsia="zh-CN" w:bidi="ar"/>
          <w:woUserID w:val="2"/>
        </w:rPr>
        <w:t>：铁死亡产生的4-HNE早期可通过共价修饰Keap1激活Nrf2防御反应；当4-HNE持续累积超过阈值时，转而通过氧化性DNA损伤激活DDR-p53-p21通路驱动细胞衰老；活化的p53进一步抑制SLC7A11，削弱System Xc⁻/GPX4抗氧化轴，形成铁死亡→4-HNE↑→p53激活→SLC7A11↓→铁死亡</w:t>
      </w:r>
      <w:r>
        <w:rPr>
          <w:rFonts w:hint="default" w:ascii="Times New Roman" w:hAnsi="Times New Roman" w:eastAsia="等线" w:cs="Times New Roman"/>
          <w:kern w:val="0"/>
          <w:sz w:val="24"/>
          <w:szCs w:val="24"/>
          <w:lang w:val="en-US" w:eastAsia="zh" w:bidi="ar"/>
          <w:woUserID w:val="2"/>
        </w:rPr>
        <w:t>加剧</w:t>
      </w:r>
      <w:r>
        <w:rPr>
          <w:rFonts w:hint="default" w:ascii="Times New Roman" w:hAnsi="Times New Roman" w:eastAsia="等线" w:cs="Times New Roman"/>
          <w:kern w:val="0"/>
          <w:sz w:val="24"/>
          <w:szCs w:val="24"/>
          <w:lang w:val="en-US" w:eastAsia="zh-CN" w:bidi="ar"/>
          <w:woUserID w:val="2"/>
        </w:rPr>
        <w:t>的恶性循环。该假说</w:t>
      </w:r>
      <w:r>
        <w:rPr>
          <w:rFonts w:hint="default" w:ascii="Times New Roman" w:hAnsi="Times New Roman" w:eastAsia="等线" w:cs="Times New Roman"/>
          <w:b/>
          <w:bCs/>
          <w:kern w:val="0"/>
          <w:sz w:val="24"/>
          <w:szCs w:val="24"/>
          <w:lang w:val="en-US" w:eastAsia="zh-CN" w:bidi="ar"/>
          <w:woUserID w:val="2"/>
        </w:rPr>
        <w:t>将急性铁死亡与慢性细胞衰老在分子层面衔接，为理解CIRI半暗带慢性化提供了新视角</w:t>
      </w:r>
      <w:r>
        <w:rPr>
          <w:rFonts w:hint="default" w:ascii="Times New Roman" w:hAnsi="Times New Roman" w:eastAsia="等线" w:cs="Times New Roman"/>
          <w:kern w:val="0"/>
          <w:sz w:val="24"/>
          <w:szCs w:val="24"/>
          <w:lang w:val="en-US" w:eastAsia="zh-CN" w:bidi="ar"/>
          <w:woUserID w:val="2"/>
        </w:rPr>
        <w:t>。</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基于公共脑缺血转录组数据的预分析进一步显示，铁死亡相关基因集在再灌注后12 h–1 d达到富集高峰，而细胞衰老基因集富集峰值后移至3</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7 d（见研究基础附图1），提示急性铁死亡应激与随后的细胞衰老之间存在时序承接关系，为该环路的体内动力学提供了初步支持。</w:t>
      </w:r>
    </w:p>
    <w:p w14:paraId="23D73647">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1.5 Nrf2是铁死亡防御与衰老抑制的共同枢纽</w:t>
      </w:r>
    </w:p>
    <w:p w14:paraId="7B2A3C82">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核因子E2相关因子2（Nrf2）是细胞抗氧化反应的主调控因子。生理状态下，Nrf2被Kelch样ECH关联蛋白1（Keap1）锚定在胞浆中，经泛素-蛋白酶体途径降解；氧化应激时，Keap1半胱氨酸残基被亲电试剂（如4-HNE）共价修饰，构象改变导致Nrf2解离、转位入核，启动抗氧化反应元件（ARE）驱动的靶基因转录</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Wang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t>
      </w:r>
    </w:p>
    <w:p w14:paraId="62D56456">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b/>
          <w:bCs/>
          <w:sz w:val="24"/>
          <w:szCs w:val="24"/>
          <w:woUserID w:val="2"/>
        </w:rPr>
      </w:pPr>
      <w:r>
        <w:rPr>
          <w:rFonts w:hint="default" w:ascii="Times New Roman" w:hAnsi="Times New Roman" w:eastAsia="等线" w:cs="Times New Roman"/>
          <w:kern w:val="0"/>
          <w:sz w:val="24"/>
          <w:szCs w:val="24"/>
          <w:lang w:val="en-US" w:eastAsia="zh-CN" w:bidi="ar"/>
          <w:woUserID w:val="2"/>
        </w:rPr>
        <w:t>Nrf2是铁死亡的重要防御机制：可上调GPX4直接清除磷脂过氧化物，上调SLC7A11促进胱氨酸摄取和GSH合成，并转录激活铁蛋白重链（FTH1）促进游离铁螯合</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关伟彬等,2024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。同时，Nrf2亦是抑制细胞衰老和SASP的关键因子，其缺失可加速SIPS，激活则可延缓衰老</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王淦民等,2025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。道吉吉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道吉吉,2024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报道靶向ErbB4受体可通过Akt/Nrf2通路同时抑制神经元铁死亡和衰老。</w:t>
      </w:r>
      <w:r>
        <w:rPr>
          <w:rFonts w:hint="default" w:ascii="Times New Roman" w:hAnsi="Times New Roman" w:eastAsia="等线" w:cs="Times New Roman"/>
          <w:b/>
          <w:bCs/>
          <w:kern w:val="0"/>
          <w:sz w:val="24"/>
          <w:szCs w:val="24"/>
          <w:lang w:val="en-US" w:eastAsia="zh-CN" w:bidi="ar"/>
          <w:woUserID w:val="2"/>
        </w:rPr>
        <w:t>因此，激活Nrf2有望同时阻断铁死亡急性期损伤和铁依赖性SIPS慢性期损害，实现对CIRI的双阶段干预。</w:t>
      </w:r>
    </w:p>
    <w:p w14:paraId="75D0359F">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lang w:eastAsia="zh"/>
          <w:woUserID w:val="2"/>
        </w:rPr>
      </w:pPr>
      <w:r>
        <w:rPr>
          <w:rFonts w:hint="default" w:ascii="Times New Roman" w:hAnsi="Times New Roman" w:eastAsia="等线" w:cs="Times New Roman"/>
          <w:b/>
          <w:bCs/>
          <w:kern w:val="0"/>
          <w:sz w:val="28"/>
          <w:szCs w:val="28"/>
          <w:lang w:val="en-US" w:eastAsia="zh-CN" w:bidi="ar"/>
          <w:woUserID w:val="2"/>
        </w:rPr>
        <w:t>1.6壮医药理论与现代病理机制</w:t>
      </w:r>
      <w:r>
        <w:rPr>
          <w:rFonts w:hint="default" w:ascii="Times New Roman" w:hAnsi="Times New Roman" w:eastAsia="等线" w:cs="Times New Roman"/>
          <w:b/>
          <w:bCs/>
          <w:kern w:val="0"/>
          <w:sz w:val="28"/>
          <w:szCs w:val="28"/>
          <w:lang w:val="en-US" w:eastAsia="zh" w:bidi="ar"/>
          <w:woUserID w:val="2"/>
        </w:rPr>
        <w:t>互释</w:t>
      </w:r>
    </w:p>
    <w:p w14:paraId="5A6AF810">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壮医将缺血性脑卒中归为</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麻邦”病证，认为风毒、火毒等邪毒阻滞龙路、火路，上扰脑部</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巧坞”，致天地人三气失衡；治疗以</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通龙路火路、清解邪毒”为核心法则。现代病理学揭示，CIRI半暗带中存在以4-HNE等脂质过氧化毒性产物为核心的铁死亡-衰老恶性循环，可视为</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邪毒阻滞”的微观体现。进一步地，</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基于GSE233815空间转录组数据的预分析显示，铁死亡及铁衰老信号在梗死核心及周边半暗带区域显著富集，而在对侧健康脑区呈低背景水平，神经元比例与铁死亡得分呈显著负相关（Spearmanρ≈-0.45，见研究基础附图2）。这一</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毒邪局部蓄积”的空间模式恰与壮医</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邪毒阻滞龙路火路、上扰巧坞”的病机定位高度契合，为桂艾</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通两路、除毒邪”治则提供了现代空间病理学诠释。桂艾作为</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通两路、除毒邪”之要药，其挥发油主成分BCP正是清除这种</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氧化脂质毒邪”、阻断铁死亡-衰老恶性循环的候选分子。因此，壮医药理论的引入并非标签式粘贴，而是与现代病理机制形成问题-答案的对应关系，回答为什么非得是壮药艾叶这一关键问题。</w:t>
      </w:r>
    </w:p>
    <w:p w14:paraId="528CAC73">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1.7药效物质锁定：GC-MS含量证据确定BCP为桂艾挥发油主成分</w:t>
      </w:r>
    </w:p>
    <w:p w14:paraId="5F3AB876">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艾叶，壮语称</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盟埃”，为广西道地壮瑶药，性温味辛苦，具特殊芳香气味，在壮瑶医理论中为</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通龙路火路、除风毒寒毒、逐湿邪”之要药。现代研究表明，艾叶挥发油是其主要活性部位，具有抗炎、抗氧化、改善脑血流及神经保护等多种药理活性。</w:t>
      </w:r>
    </w:p>
    <w:p w14:paraId="14E292FB">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前期采用GC-MS对广西本土种植艾草2年陈化挥发油进行系统分析，共识别出84种成分。定量结果显示，β-石竹烯（BCP）相对含量达10.2181%，显著高于其他成分，为艾叶挥发油的绝对主成分（详细的GC-MS方法学、完整成分表及定量数据见</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研究基础”部分）。BCP是艾叶天然来源的双环倍半萜类成分（CAS 87-44-5，分子式C₁₅H₂₄），β-石竹烯合酶已在艾叶中被鉴定，进一步证实其为艾叶的天然组成成分。基于这一可复现的化学事实，</w:t>
      </w:r>
      <w:r>
        <w:rPr>
          <w:rFonts w:hint="default" w:ascii="Times New Roman" w:hAnsi="Times New Roman" w:eastAsia="等线" w:cs="Times New Roman"/>
          <w:kern w:val="0"/>
          <w:sz w:val="24"/>
          <w:szCs w:val="24"/>
          <w:lang w:val="en-US" w:eastAsia="zh" w:bidi="ar"/>
          <w:woUserID w:val="2"/>
        </w:rPr>
        <w:t>申请人将</w:t>
      </w:r>
      <w:r>
        <w:rPr>
          <w:rFonts w:hint="default" w:ascii="Times New Roman" w:hAnsi="Times New Roman" w:eastAsia="等线" w:cs="Times New Roman"/>
          <w:kern w:val="0"/>
          <w:sz w:val="24"/>
          <w:szCs w:val="24"/>
          <w:lang w:val="en-US" w:eastAsia="zh-CN" w:bidi="ar"/>
          <w:woUserID w:val="2"/>
        </w:rPr>
        <w:t>BCP作为核心药效物质；后续图神经网络靶点预测、分子对接等计算分析用于解释BCP抗铁衰老的机制合理性。</w:t>
      </w:r>
    </w:p>
    <w:p w14:paraId="1B224067">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bookmarkStart w:id="0" w:name="_GoBack"/>
      <w:bookmarkEnd w:id="0"/>
      <w:r>
        <w:rPr>
          <w:rFonts w:hint="default" w:ascii="Times New Roman" w:hAnsi="Times New Roman" w:eastAsia="等线" w:cs="Times New Roman"/>
          <w:b/>
          <w:bCs/>
          <w:kern w:val="0"/>
          <w:sz w:val="28"/>
          <w:szCs w:val="28"/>
          <w:lang w:val="en-US" w:eastAsia="zh-CN" w:bidi="ar"/>
          <w:woUserID w:val="2"/>
        </w:rPr>
        <w:t>1.8 BCP的神经保护与抗铁死亡文献证据</w:t>
      </w:r>
    </w:p>
    <w:p w14:paraId="550C9E6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b/>
          <w:bCs/>
          <w:kern w:val="0"/>
          <w:sz w:val="24"/>
          <w:szCs w:val="24"/>
          <w:lang w:val="en-US" w:eastAsia="zh-CN" w:bidi="ar"/>
          <w:woUserID w:val="2"/>
        </w:rPr>
        <w:t>BCP在CIRI中的神经保护作用已获得多项独立研究验证</w:t>
      </w:r>
      <w:r>
        <w:rPr>
          <w:rFonts w:hint="default" w:ascii="Times New Roman" w:hAnsi="Times New Roman" w:eastAsia="等线" w:cs="Times New Roman"/>
          <w:kern w:val="0"/>
          <w:sz w:val="24"/>
          <w:szCs w:val="24"/>
          <w:lang w:val="en-US" w:eastAsia="zh-CN" w:bidi="ar"/>
          <w:woUserID w:val="2"/>
        </w:rPr>
        <w:t>。Chang等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Chang et al.,2013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首次报道BCP可显著减小大鼠MCAO模型皮层梗死体积；Zhang等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Zhang et al.,2017</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证实BCP通过激活PI3K/Akt通路抑制凋亡，并下调p53表达；Yang等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Yang et al.,2017</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发现BCP通过抑制HMGB1/TLR4/NF-κB通路减轻炎症和坏死性凋亡；Tian等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Tian et al.,2019</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揭示BCP促进小胶质细胞向M2表型极化；Rao等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Rao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发现BCP通过激活Pink1/Parkin2促进线粒体自噬；Wang等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Wang et al.,2025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报道BCP通过抑制HMGB1/TLR4/RAGE信号减轻缺血性卒中炎症损伤；Shen等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Shen et al.,2025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揭示BCP通过JAK2/STAT3通路下调中性粒细胞胞外陷阱（NETs）形成，减轻炎症和氧化应激；Xin等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Xin et al.,2026</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发现BCP通过抑制H3K9/H3K18乳酸化介导的细胞焦亡发挥神经保护作用。</w:t>
      </w:r>
    </w:p>
    <w:p w14:paraId="7BFCA5AB">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在抗铁死亡方面，Hu等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Hu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报道BCP通过激活NRF2/HO-1通路抑制脑缺血再灌注诱发的铁死亡，降低4-HNE、ACSL4和Fe²⁺水平，上调GPX4表达，且Nrf2抑制剂ML385可显著逆转BCP的神经保护效应。Li</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在系统性研究中证实BCP可直接抑制RSL3/IKE诱导的细胞铁死亡，降低MDA、ROS和4-HNE，恢复GSH/GSSG和线粒体功能。Lou等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Lou et al.,2016</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在大鼠MCAO/R模型中证实BCP通过激活Nrf2/HO-1通路减轻氧化损伤与神经元凋亡。药代动力学研究表明BCP具有良好的血脑屏障穿透能力，口服后可迅速进入脑组织。</w:t>
      </w:r>
    </w:p>
    <w:p w14:paraId="44B45124">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此外，</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b/>
          <w:bCs/>
          <w:kern w:val="0"/>
          <w:sz w:val="24"/>
          <w:szCs w:val="24"/>
          <w:lang w:val="en-US" w:eastAsia="zh-CN" w:bidi="ar"/>
          <w:woUserID w:val="2"/>
        </w:rPr>
        <w:t>前期基于多组学整合与LASSO稳定性筛选，发现多胺氧化酶SAT1是CIRI-铁衰老特征基因中入选频率最高的候选节点</w:t>
      </w:r>
      <w:r>
        <w:rPr>
          <w:rFonts w:hint="default" w:ascii="Times New Roman" w:hAnsi="Times New Roman" w:eastAsia="等线" w:cs="Times New Roman"/>
          <w:kern w:val="0"/>
          <w:sz w:val="24"/>
          <w:szCs w:val="24"/>
          <w:lang w:val="en-US" w:eastAsia="zh-CN" w:bidi="ar"/>
          <w:woUserID w:val="2"/>
        </w:rPr>
        <w:t>。SAT1通过催化多胺分解产生H₂O₂，加剧脂质过氧化和铁死亡敏感性，是连接铁代谢紊乱与氧化应激放大的关键节点之一。近年来，SAT1/ALOX15轴已被证实在神经病理性疼痛</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Wan et al.,2023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、阿尔茨海默病</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Ren et al.,2024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等神经系统疾病中介导铁死亡；在肿瘤模型中，SAT1/p53通路是调控铁死亡敏感性的关键节点</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Wu et al.,2024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，而SAT1介导的亚精胺耗竭可通过下调GPX4/xCT促进铁死亡</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Xia et al.,2026</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。独立的脑衰老代谢组学数据（Metabolomics Workbench ST001637，521样本）进一步显示，衰老脑中鸟氨酸、N8-乙酰亚精胺、腐胺等多胺代谢物显著下降，与SAT1激活导致多胺乙酰化耗竭的生化方向一致（见研究基础附图4），从代谢层面支持SAT1作为铁衰老调控节点的跨物种保守性。尽管SAT1在CIRI中的直接作用尚未见系统报道，但上述研究提示其作为神经元铁死亡调控节点的合理性。鉴于BCP可显著降低4-HNE和脂质ROS水平，</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推测</w:t>
      </w:r>
      <w:r>
        <w:rPr>
          <w:rFonts w:hint="default" w:ascii="Times New Roman" w:hAnsi="Times New Roman" w:eastAsia="等线" w:cs="Times New Roman"/>
          <w:b/>
          <w:bCs/>
          <w:kern w:val="0"/>
          <w:sz w:val="24"/>
          <w:szCs w:val="24"/>
          <w:lang w:val="en-US" w:eastAsia="zh-CN" w:bidi="ar"/>
          <w:woUserID w:val="2"/>
        </w:rPr>
        <w:t>BCP可能通过下调SAT1介导的氧化应激放大环路，协同增强Nrf2/GPX4抗氧化防御，将4-HNE累积水平控制在Keap1激活阈值以下，从而阻止其向诱发DDR-p53衰老反应的方向转化</w:t>
      </w:r>
      <w:r>
        <w:rPr>
          <w:rFonts w:hint="default" w:ascii="Times New Roman" w:hAnsi="Times New Roman" w:eastAsia="等线" w:cs="Times New Roman"/>
          <w:kern w:val="0"/>
          <w:sz w:val="24"/>
          <w:szCs w:val="24"/>
          <w:lang w:val="en-US" w:eastAsia="zh-CN" w:bidi="ar"/>
          <w:woUserID w:val="2"/>
        </w:rPr>
        <w:t>。</w:t>
      </w:r>
    </w:p>
    <w:p w14:paraId="43D78ED2">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1.9核心科学假说</w:t>
      </w:r>
    </w:p>
    <w:p w14:paraId="74FE41B8">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综上所述，</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提出如下</w:t>
      </w:r>
      <w:r>
        <w:rPr>
          <w:rFonts w:hint="default" w:ascii="Times New Roman" w:hAnsi="Times New Roman" w:eastAsia="等线" w:cs="Times New Roman"/>
          <w:b/>
          <w:bCs/>
          <w:kern w:val="0"/>
          <w:sz w:val="24"/>
          <w:szCs w:val="24"/>
          <w:lang w:val="en-US" w:eastAsia="zh-CN" w:bidi="ar"/>
          <w:woUserID w:val="2"/>
        </w:rPr>
        <w:t>核心科学假说</w:t>
      </w:r>
      <w:r>
        <w:rPr>
          <w:rFonts w:hint="default" w:ascii="Times New Roman" w:hAnsi="Times New Roman" w:eastAsia="等线" w:cs="Times New Roman"/>
          <w:kern w:val="0"/>
          <w:sz w:val="24"/>
          <w:szCs w:val="24"/>
          <w:lang w:val="en-US" w:eastAsia="zh-CN" w:bidi="ar"/>
          <w:woUserID w:val="2"/>
        </w:rPr>
        <w:t>：广西壮药艾叶挥发油主成分BCP通过下调SAT1介导的氧化应激放大与激活Nrf2抗氧化防御</w:t>
      </w:r>
      <w:r>
        <w:rPr>
          <w:rFonts w:hint="default" w:ascii="Times New Roman" w:hAnsi="Times New Roman" w:eastAsia="等线" w:cs="Times New Roman"/>
          <w:kern w:val="0"/>
          <w:sz w:val="24"/>
          <w:szCs w:val="24"/>
          <w:lang w:val="en-US" w:eastAsia="zh" w:bidi="ar"/>
          <w:woUserID w:val="2"/>
        </w:rPr>
        <w:t>的</w:t>
      </w:r>
      <w:r>
        <w:rPr>
          <w:rFonts w:hint="default" w:ascii="Times New Roman" w:hAnsi="Times New Roman" w:eastAsia="等线" w:cs="Times New Roman"/>
          <w:kern w:val="0"/>
          <w:sz w:val="24"/>
          <w:szCs w:val="24"/>
          <w:lang w:val="en-US" w:eastAsia="zh-CN" w:bidi="ar"/>
          <w:woUserID w:val="2"/>
        </w:rPr>
        <w:t>协同机制，将CIRI半暗带中爆发性产生的4-HNE水平钳制在Keap1激活阈值以下，确保4-HNE优先发挥Nrf2防御信号功能，阻止其过量累积至诱发DNA氧化损伤和p53磷酸化的水平，从而阻断铁死亡→4-HNE↑→DDR-p53→SLC7A11↓→铁死亡</w:t>
      </w:r>
      <w:r>
        <w:rPr>
          <w:rFonts w:hint="default" w:ascii="Times New Roman" w:hAnsi="Times New Roman" w:eastAsia="等线" w:cs="Times New Roman"/>
          <w:kern w:val="0"/>
          <w:sz w:val="24"/>
          <w:szCs w:val="24"/>
          <w:lang w:val="en-US" w:eastAsia="zh" w:bidi="ar"/>
          <w:woUserID w:val="2"/>
        </w:rPr>
        <w:t>加剧</w:t>
      </w:r>
      <w:r>
        <w:rPr>
          <w:rFonts w:hint="default" w:ascii="Times New Roman" w:hAnsi="Times New Roman" w:eastAsia="等线" w:cs="Times New Roman"/>
          <w:kern w:val="0"/>
          <w:sz w:val="24"/>
          <w:szCs w:val="24"/>
          <w:lang w:val="en-US" w:eastAsia="zh-CN" w:bidi="ar"/>
          <w:woUserID w:val="2"/>
        </w:rPr>
        <w:t>的正反馈环路，将亚致死性铁死亡应激从衰老方向扭转向修复方向，实现对CIRI急性神经保护与慢性功能恢复的双重改善。</w:t>
      </w:r>
    </w:p>
    <w:p w14:paraId="3E87F60A">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参考文献</w:t>
      </w:r>
    </w:p>
    <w:p w14:paraId="45B6B944">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QIN C,YANG S,CHU Y H,et al.Signaling pathways involved in ischemic stroke:Molecular mechanisms and therapeutic interventions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.Signal Transduction and Targeted Therapy,2022,7(1):215.DOI:10.1038/s41392-022-00987-3.</w:t>
      </w:r>
    </w:p>
    <w:p w14:paraId="603B36FD">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MA H,CAMPBELL B C V,PARSONS M W,et al.Thrombolysis guided by perfusion imaging up to 9 hours after onset of stroke</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.The New England Journal of Medicine,2019,380(19):1795-1803.DOI:10.1056/NEJMoa1813046.</w:t>
      </w:r>
    </w:p>
    <w:p w14:paraId="097F5145">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DIXON S J,LEMBERG K M,LAMPRECHT M R,et al.Ferroptosis:an iron-dependent form of nonapoptotic cell death</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.Cell,2012,149(5):1060-1072.DOI:10.1016/j.cell.2012.03.042.</w:t>
      </w:r>
    </w:p>
    <w:p w14:paraId="56F94DF2">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4</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STOCKWELL B R,ANGELI J P F,BAYIR H,et al.Ferroptosis:a regulated cell death nexus linking metabolism,redox biology,and disease</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.Cell,2017,171(2):273-285.DOI:10.1016/j.cell.2017.09.021.</w:t>
      </w:r>
    </w:p>
    <w:p w14:paraId="4C9D539F">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5</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GUO J,TUO Q Z,LEI P.Iron,ferroptosis,and ischemic stroke</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.Journal of Neurochemistry,2023,165(4):487-520.DOI:10.1111/jnc.15610.</w:t>
      </w:r>
    </w:p>
    <w:p w14:paraId="36769A38">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6</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拓启臻，雷平.铁死亡与缺血性脑卒中：动物模型及机制研究</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.动物学研究，2024,45(6):1235-1248.</w:t>
      </w:r>
    </w:p>
    <w:p w14:paraId="3D2EC049">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7</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李佳.铁死亡参与脑卒中后缺血再灌注损伤的作用机制</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.医学信息，2023.</w:t>
      </w:r>
    </w:p>
    <w:p w14:paraId="06446705">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8</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潘单依.铁死亡机制与脑缺血再灌注损伤及中医药干预进展</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.中医药信息，2023.</w:t>
      </w:r>
    </w:p>
    <w:p w14:paraId="6C581289">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9</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佘旭.铁死亡与脑卒中的神经损伤</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.神经药理学报，2023.</w:t>
      </w:r>
    </w:p>
    <w:p w14:paraId="54356348">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10</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张鹏宇.铁死亡与缺血性脑卒中</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.中国比较医学杂志，2023.</w:t>
      </w:r>
    </w:p>
    <w:p w14:paraId="78983165">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11</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易欣.铁死亡与缺血再灌注损伤关系的研究进展</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.临床医药文献电子杂志，2024.</w:t>
      </w:r>
    </w:p>
    <w:p w14:paraId="46901189">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12</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TCHKONIA T,ZHU Y,VAN DEURSEN J,et al.Cellular senescence and the senescent secretory phenotype:therapeutic opportunities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.Journal of Clinical Investigation,2013,123(3):966-972.DOI:10.1172/JCI64098.</w:t>
      </w:r>
    </w:p>
    <w:p w14:paraId="1C171222">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13</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LIU X,GUO Y,POPA-WAGNER A,et al.Cellular senescence in ischemic stroke:Cell-type specificity,temporal dynamics,and response to therapeutic interventions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.Ageing Research Reviews,2026,120:103206.DOI:10.1016/j.arr.2026.103206.</w:t>
      </w:r>
    </w:p>
    <w:p w14:paraId="7BEF0973">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14</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BAIXAULI-MARTÍN J,BURGUETE M C,LÓPEZ-MORALES M A,et al.Spatio-Temporal Characterization of Cellular Senescence Hallmarks in Experimental Ischemic Stroke</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.International Journal of Molecular Sciences,2025,26(5):2364.DOI:10.3390/ijms26052364.</w:t>
      </w:r>
    </w:p>
    <w:p w14:paraId="14F5C07B">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15</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CHEN C,ZHENG M,HOU H,et al.Cellular senescence in ischemia/reperfusion injury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.Cell Death Discovery,2022,8:420.DOI:10.1038/s41420-022-01205-z.</w:t>
      </w:r>
    </w:p>
    <w:p w14:paraId="41BBFCEB">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16</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LI Y,SHEN Q,HUANG L,et al.Anti-aging Factor GRSF1 Attenuates Cerebral Ischemia-Reperfusion Injury in Mice by Inhibiting GPX4-Mediated Ferroptosis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.Molecular Neurobiology,2024,61(4):2151-2164.DOI:10.1007/s12035-023-03685-1.</w:t>
      </w:r>
    </w:p>
    <w:p w14:paraId="11CCDFD9">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17</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GAO S,QI L,BAI W,et al.Ferro-aging:A novel paradigm linking iron overload,lipid peroxidation and cellular senescence</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.Free Radical Biology and Medicine,2026,253:817-829.DOI:10.1016/j.freeradbiomed.2026.06.012.</w:t>
      </w:r>
    </w:p>
    <w:p w14:paraId="6673EF0B">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18</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LIU L,ZHENG Z,YOU W,et al.Vitamin C inhibits ACSL4 to alleviate ferro-aging in primates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.Cell Metabolism,2026,38(4):673-693.DOI:10.1016/j.cmet.2026.02.010.</w:t>
      </w:r>
    </w:p>
    <w:p w14:paraId="57F7527A">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19</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UCHIDA K.4-Hydroxy-2-nonenal:a product and mediator of oxidative stress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.Progress in Lipid Research,2003,42(4):318-343.DOI:10.1016/S0163-7827(03)00014-4.</w:t>
      </w:r>
    </w:p>
    <w:p w14:paraId="268A5ADC">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20</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MONROE T B,HERTZEL A V,DICKEY D M,et al.Lipid peroxidation products induce carbonyl stress,mitochondrial dysfunction,and cellular senescence in human and murine cells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.Aging Cell,2025,24(1):e14367.DOI:10.1111/acel.14367.</w:t>
      </w:r>
    </w:p>
    <w:p w14:paraId="5C83F00F">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21</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JIANG L,KON N,LI T,et al.Ferroptosis as a p53-mediated activity during tumour suppression</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.Nature,2015,520(7545):57-62.DOI:10.1038/nature14344.</w:t>
      </w:r>
    </w:p>
    <w:p w14:paraId="0E2AED78">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22</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惠文婷.缺血诱导成纤维细胞衰老中ALDH2的作用及机制研究</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D</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.2024.</w:t>
      </w:r>
    </w:p>
    <w:p w14:paraId="2BBABAD7">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23</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陈斯佳.木犀草素通过SLC7A11/GPX4信号通路调控铁死亡缓解血管平滑肌细胞衰老</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D</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.2024.</w:t>
      </w:r>
    </w:p>
    <w:p w14:paraId="6BDDED1E">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24</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WANG L,ZHANG X,XIONG X,et al.Nrf2 regulates oxidative stress and its role in cerebral ischemic stroke</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.Antioxidants,2022,11(12):2377.DOI:10.3390/antiox11122377.</w:t>
      </w:r>
    </w:p>
    <w:p w14:paraId="2F289AE8">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25</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关伟彬，刘旭光，赵伟.铁死亡与衰老</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.生物化学与分子生物学报，2024,40(1):28-37.</w:t>
      </w:r>
    </w:p>
    <w:p w14:paraId="435028FC">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26</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王淦民，王勇，陈世奎，等.Sirt6通过Nrf2/HO-1通路抑制铁死亡并缓解D-半乳糖诱导小鼠骨骼肌衰老</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.中国病理生理杂志，2025,41(7):1276-1286.</w:t>
      </w:r>
    </w:p>
    <w:p w14:paraId="2D845A2B">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27</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道吉吉.靶向ErbB4受体小分子激动剂通过调控铁死亡抑制神经元衰老及作用机制研究</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D</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.2024.</w:t>
      </w:r>
    </w:p>
    <w:p w14:paraId="75510AF0">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28</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CHANG H J,KIM J M,LEE J C,et al.Protective effect ofβ-caryophyllene,a natural bicyclic sesquiterpene,against cerebral ischemic injury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.Journal of Medicinal Food,2013,16(6):471-480.DOI:10.1089/jmf.2012.2283.</w:t>
      </w:r>
    </w:p>
    <w:p w14:paraId="2E1D005E">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29</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ZHANG Q,AN R,TIAN X,et al.β-Caryophyllene pretreatment alleviates focal cerebral ischemia-reperfusion injury by activating PI3K/Akt signaling pathway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.Neurochemical Research,2017,42(5):1459-1467.DOI:10.1007/s11064-017-2202-3.</w:t>
      </w:r>
    </w:p>
    <w:p w14:paraId="13A213E1">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30</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YANG M,LV Y,TIAN X,et al.Neuroprotective effect ofβ-caryophyllene on cerebral ischemia-reperfusion injury via regulation of necroptotic neuronal death and inflammation:in vivo and in vitro</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.Frontiers in Neuroscience,2017,11:583.DOI:10.3389/fnins.2017.00583.</w:t>
      </w:r>
    </w:p>
    <w:p w14:paraId="1E0F3496">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31</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TIAN X,LIU H,XIANG F,et al.β-Caryophyllene protects against ischemic stroke by promoting polarization of microglia toward M2 phenotype via the TLR4 pathway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.Life Sciences,2019,237:116915.DOI:10.1016/j.lfs.2019.116915.</w:t>
      </w:r>
    </w:p>
    <w:p w14:paraId="4ADCAD8F">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32</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RAO J,WU Y,FAN X,et al.Facilitating mitophagy via Pink1/Parkin2 signaling is essential for the neuroprotective effect ofβ-caryophyllene against CIR-induced neuronal injury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.Brain Sciences,2022,12(7):868.DOI:10.3390/brainsci12070868.</w:t>
      </w:r>
    </w:p>
    <w:p w14:paraId="034A6F3B">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33</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WANG Y,YANG Y,MENG T,et al.β-caryophyllene reduces inflammation to protect against ischemic stroke by suppressing HMGB1 signaling</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.Molecular Medicine,2025,31(1):112.DOI:10.1186/s10020-025-01171-z.</w:t>
      </w:r>
    </w:p>
    <w:p w14:paraId="33E0E175">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34</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SHEN Z Z,XU Z L,LIU Q S,et al.β-Caryophyllene modulates the JAK2/STAT3 signaling pathway to downregulate neutrophil extracellular traps and alleviate cerebral ischemia-reperfusion injury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.Metabolic Brain Disease,2025,40(8):301.DOI:10.1007/s11011-025-01723-6.</w:t>
      </w:r>
    </w:p>
    <w:p w14:paraId="58D91A93">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35</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XIN Q,XU F,WU J.β-Caryophyllene protects against ischemic stroke by inhibiting H3K9 and H3K18 lactylation-mediated cellular pyroptosis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.Frontiers in Pharmacology,2026,17:1840441.DOI:10.3389/fphar.2026.1840441.</w:t>
      </w:r>
    </w:p>
    <w:p w14:paraId="73057D2C">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36</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HU Q,ZUO T,DENG L,et al.β-Caryophyllene suppresses ferroptosis induced by cerebral ischemia reperfusion via activation of the NRF2/HO-1 signaling pathway in MCAO/R rats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.Phytomedicine,2022,102:154112.DOI:10.1016/j.phymed.2022.154112.</w:t>
      </w:r>
    </w:p>
    <w:p w14:paraId="0A56F891">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37</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LI Y.天然产物β-石竹烯抑制铁死亡的功能与机制研究</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D</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.杭州：杭州师范大学，2024.</w:t>
      </w:r>
    </w:p>
    <w:p w14:paraId="4A23CB15">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38</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LOU J,CAO G,LI R,et al.β-Caryophyllene attenuates focal cerebral ischemia-reperfusion injury by Nrf2/HO-1 pathway in rats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.Neurochemical Research,2016,41(6):1291-1304.DOI:10.1007/s11064-016-1826-z.</w:t>
      </w:r>
    </w:p>
    <w:p w14:paraId="3E755181">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39</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WAN K,JIA M,ZHANG H,et al.Electroacupuncture alleviates neuropathic pain by suppressing ferroptosis in dorsal root ganglion via SAT1/ALOX15 signaling</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.Molecular Neurobiology,2023,60(10):6121-6132.DOI:10.1007/s12035-023-03463-z.</w:t>
      </w:r>
    </w:p>
    <w:p w14:paraId="05766746">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40</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REN X,WEN Y,YUAN M,et al.Cerebroprotein hydrolysate-I ameliorates cognitive dysfunction in APP/PS1 mice by inhibiting ferroptosis via the p53/SAT1/ALOX15 signalling pathway</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.European Journal of Pharmacology,2024,979:176820.DOI:10.1016/j.ejphar.2024.176820.</w:t>
      </w:r>
    </w:p>
    <w:p w14:paraId="77E2DEAB">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41</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WU A,ZHANG A,WANG T,et al.Inhibition of miR-9-3p facilitates ferroptosis by activating SAT1/p53 pathway in lung adenocarcinoma</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.Translational Lung Cancer Research,2024,13(12):3426-3442.DOI:10.21037/tlcr-24-762.</w:t>
      </w:r>
    </w:p>
    <w:p w14:paraId="3B1C683C">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42</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XIA Y,WANG S,ZHU J,et al.Carvedilol triggers ferroptosis in hepatic stellate cells via the ATF4/SAT1 axis promoting spermidine depletion to ameliorate liver fibrosis</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.Cell Death&amp;Disease,2026,17(1).DOI:10.1038/s41419-026-08898-5.</w:t>
      </w:r>
    </w:p>
    <w:p w14:paraId="0847AFDA">
      <w:pPr>
        <w:keepNext w:val="0"/>
        <w:keepLines w:val="0"/>
        <w:widowControl/>
        <w:suppressLineNumbers w:val="0"/>
        <w:spacing w:before="0" w:beforeAutospacing="1" w:after="200" w:afterAutospacing="0"/>
        <w:ind w:left="0" w:right="0"/>
        <w:jc w:val="left"/>
        <w:rPr>
          <w:rFonts w:hint="default" w:ascii="Times New Roman" w:hAnsi="Times New Roman" w:eastAsia="等线" w:cs="Times New Roman"/>
          <w:sz w:val="22"/>
          <w:szCs w:val="22"/>
          <w:woUserID w:val="2"/>
        </w:rPr>
      </w:pP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43</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ZUCHA D,ABAFFY P,KIRDAJOVA D,et al.Spatiotemporal transcriptomic map of glial cell response in a mouse model of acute brain ischemia</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J</w:t>
      </w:r>
      <w:r>
        <w:rPr>
          <w:rFonts w:hint="default" w:ascii="Times New Roman" w:hAnsi="Times New Roman" w:eastAsia="等线" w:cs="Times New Roman"/>
          <w:kern w:val="0"/>
          <w:sz w:val="22"/>
          <w:szCs w:val="22"/>
          <w:lang w:eastAsia="zh-CN" w:bidi="ar"/>
          <w:woUserID w:val="2"/>
        </w:rPr>
        <w:t>)</w:t>
      </w:r>
      <w:r>
        <w:rPr>
          <w:rFonts w:hint="default" w:ascii="Times New Roman" w:hAnsi="Times New Roman" w:eastAsia="等线" w:cs="Times New Roman"/>
          <w:kern w:val="0"/>
          <w:sz w:val="22"/>
          <w:szCs w:val="22"/>
          <w:lang w:val="en-US" w:eastAsia="zh-CN" w:bidi="ar"/>
          <w:woUserID w:val="2"/>
        </w:rPr>
        <w:t>.Proceedings of the National Academy of Sciences of the United States of America,2024,121(46):e2404203121.DOI:10.1073/pnas.2404203121.</w:t>
      </w:r>
    </w:p>
    <w:p w14:paraId="5046C741">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0"/>
          <w:szCs w:val="30"/>
          <w:woUserID w:val="2"/>
        </w:rPr>
      </w:pPr>
      <w:r>
        <w:rPr>
          <w:rFonts w:hint="default" w:ascii="Times New Roman" w:hAnsi="Times New Roman" w:eastAsia="等线" w:cs="Times New Roman"/>
          <w:b/>
          <w:bCs/>
          <w:kern w:val="0"/>
          <w:sz w:val="30"/>
          <w:szCs w:val="30"/>
          <w:lang w:val="en-US" w:eastAsia="zh-CN" w:bidi="ar"/>
          <w:woUserID w:val="2"/>
        </w:rPr>
        <w:t>2.研究内容、研究目标，以及拟解决的关键科学问题</w:t>
      </w:r>
    </w:p>
    <w:p w14:paraId="298C976E">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2.1研究目标</w:t>
      </w:r>
    </w:p>
    <w:p w14:paraId="5AEF391E">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总目标：揭示桂艾活性成分BCP通过激活Nrf2阻断4-HNE-p53-SLC7A11正反馈环路、干预CIRI半暗带铁衰老的新型药理机制，为拓展急性缺血性脑卒中治疗时间窗和改善远期预后提供理论依据与先导化合物。</w:t>
      </w:r>
    </w:p>
    <w:p w14:paraId="68B5663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分目标一：证实CIRI半暗带中存在铁依赖性SIPS，并阐明4-HNE对Keap1/Nrf2防御通路和DDR-p53衰老通路的时序性机制转换规律。</w:t>
      </w:r>
    </w:p>
    <w:p w14:paraId="015641B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分目标二：明确BCP在细胞水平通过Nrf2依赖方式阻断铁死亡向衰老转向的分子机制，重点验证BCP对SAT1的调控作用及其与Nrf2/GPX4/SLC7A11轴的协同效应。</w:t>
      </w:r>
    </w:p>
    <w:p w14:paraId="28264EE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分目标三：在MCAO/R整体动物模型中验证BCP通过激活Nrf2改善CIRI远期预后的药效，并确认其神经保护与抗衰老效应的Nrf2依赖性。</w:t>
      </w:r>
    </w:p>
    <w:p w14:paraId="27FA264C">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2.2研究内容</w:t>
      </w:r>
    </w:p>
    <w:p w14:paraId="1857DF34">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内容一：CIRI半暗带铁依赖性SIPS的时空定位及4-HNE-p53-SLC7A11轴时序验证</w:t>
      </w:r>
    </w:p>
    <w:p w14:paraId="7067A134">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前期基于GSE233815公共空间转录组数据的预分析已将铁衰老信号定位于梗死核心及周边半暗带区（见研究基础附图2），并提示铁死亡相关基因集在12 h–1 d达峰、细胞衰老基因集在3–7 d持续升高（见研究基础附图1）。本内容将在此基础上增加再灌注后6 h时间点，并通过LC-MS/MS定量4-HNE以确定</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防御激活”与</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衰老诱导”的转换阈值。</w:t>
      </w:r>
    </w:p>
    <w:p w14:paraId="51D8BC3A">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采用SD大鼠MCAO/R模型，聚焦再灌注后6 h（铁死亡高峰）、24 h（急性损伤期）、3 d及7 d（SIPS启动期）四个关键窗口。运用多重免疫荧光共定位（NeuN/GFAP/Iba-1分别与GPX4、4-HNE、p21、γH2AX共染）、透射电镜观察线粒体形态及SA-β-gal染色，明确半暗带中发生铁依赖性SIPS的细胞类型（神经元、星形胶质细胞、小胶质细胞、内皮细胞）及其时空动态分布。核心验证目标：①通过LC-MS/MS定量脑组织4-HNE-蛋白加合物及游离4-HNE水平，结合免疫荧光强度半定量，建立4-HNE浓度与Nrf2激活、p53磷酸化之间的剂量-效应关系，界定</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防御激活”与</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衰老诱导”的转换阈值；②通过免疫共沉淀联合免疫印迹（IP/IB）技术，检测4-HNE对Keap1和p53蛋白修饰的时序竞争关系，验证</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早期4-HNE以修饰Keap1激活Nrf2防御为主，晚期转向p53磷酸化驱动衰老”的机制转换假说。</w:t>
      </w:r>
    </w:p>
    <w:p w14:paraId="2E9BF440">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内容二：BCP经Nrf2调控铁依赖性SIPS的细胞机制验证</w:t>
      </w:r>
    </w:p>
    <w:p w14:paraId="4A25FAF0">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前期GSE233815 snRNA-seq分析表明，神经元是铁衰老得分最高、SAT1表达最显著且与铁死亡得分呈正相关（ρ=0.38,p&lt;1e-10）的细胞群体（见研究基础附图3），因此</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以原代皮层神经元为主要体外模型，星形胶质细胞作为辅助验证炎症-衰老表型的补充模型。</w:t>
      </w:r>
    </w:p>
    <w:p w14:paraId="6C00EECF">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在纯化原代皮层神经元（核心模型）和星形胶质细胞（辅助验证炎症-衰老表型）中，采用亚致死剂量Erastin（0.1–0.5μM，洗脱后继续培养48、72、96 h）和氧糖剥夺/复氧（OGD/R，缺氧2 h/复氧24、48、72、96 h）双模型诱导铁依赖性SIPS。设置对照组、模型组、BCP低/中/高剂量组（10/50/100μM）、BCP+ML385（Nrf2抑制剂，5μM）组、Ferrostatin-1（Fer-1，铁死亡抑制剂，1μM）阳性对照组及Navitoclax（衰老清除剂）对照组。重点检测三个层面：①铁死亡缓冲：FerroOrange探针检测Fe²⁺动态，C11-BODIPY流式检测脂质ROS，MDA、GSH/GSSG、GPX4/ACSL4/FTH1/SLC7A11/SAT1表达；②衰老转向阻断：SA-β-gal染色、EdU掺入、p21/p16/γH2AX表达及SASP因子（IL-6/IL-1β/TNF-α/MMP-3）ELISA/qPCR；③Nrf2依赖性验证：Nrf2核浆分离、ARE荧光素酶报告基因、HO-1/NQO1表达及siRNA-Nrf2敲低挽救实验。同时采用细胞热位移分析（CETSA）验证BCP与Keap1/SAT1的直接物理结合。</w:t>
      </w:r>
    </w:p>
    <w:p w14:paraId="1BE83A33">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sz w:val="24"/>
          <w:szCs w:val="24"/>
          <w:woUserID w:val="2"/>
        </w:rPr>
      </w:pPr>
      <w:r>
        <w:rPr>
          <w:rFonts w:hint="default" w:ascii="Times New Roman" w:hAnsi="Times New Roman" w:eastAsia="等线" w:cs="Times New Roman"/>
          <w:b/>
          <w:bCs/>
          <w:kern w:val="0"/>
          <w:sz w:val="24"/>
          <w:szCs w:val="24"/>
          <w:lang w:val="en-US" w:eastAsia="zh-CN" w:bidi="ar"/>
          <w:woUserID w:val="2"/>
        </w:rPr>
        <w:t>内容三：BCP改善CIRI远期预后的整体药效及其Nrf2依赖性确认</w:t>
      </w:r>
    </w:p>
    <w:p w14:paraId="703033C1">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基于GSE233815 bulk RNA-seq的GSEA预分析显示，铁死亡相关基因集在再灌注后12 h–1 d达峰，而细胞衰老基因集在3–7 d持续升高（见研究基础附图1）。据此，</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选择再灌注后即刻（机制确证）、延迟3 h（时间窗探索）和延迟6 h（转化价值探索性亚组）三个给药窗口，以覆盖铁死亡急性高峰并向衰老转化阶段延伸。</w:t>
      </w:r>
    </w:p>
    <w:p w14:paraId="30106D8F">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在MCAO/R大鼠模型中，设置再灌注后即刻给药（机制确证）、延迟3 h给药（时间窗探索）及延迟6 h给药（转化价值探索性亚组）三个队列，连续灌胃7天，观察终点延长至28天。选择3 h作为延迟给药窗口的依据在于：啮齿类大鼠脑缺血再灌注损伤的急性病理级联反应时程较人类显著压缩，3 h约对应于临床发病后4.5–6 h的rt-PA静脉溶栓时间窗；该时点既能够覆盖血脑屏障破坏和炎症启动的关键阶段，又可检验BCP在已有继发性损伤启动后的干预价值。延迟6 h亚组则用于初步评估更晚时间窗的可行性，为后续临床转化提供参考，但因样本量限制，其结果将作为探索性数据而非确证性结论。实验分组（n=12/组）：假手术组、MCAO/R模型组、BCP低/中/高剂量组（102/204/408 mg/kg）、Liproxstatin-1阳性对照组（10 mg/kg）、BCP+ML385组（204 mg/kg+30 mg/kg）、桂艾挥发油组（等BCP含量折算）。药效评价体系区分急性期（24 h TTC梗死体积、72 h脑水肿）与远期康复（mNSS评分、转棒试验、足误试验及Morris水迷宫认知功能）。终点检测脑组织铁死亡（GPX4/ACSL4/SAT1/4-HNE）和衰老（p21/p16/SA-β-gal/γH2AX）标志物，以及SASP因子（IL-6/TNF-α/MMP-3）水平。核心验证：BCP+ML385组与BCP单药组必须在远期行为学和生化指标上呈现显著差异，方可证实</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BCP改善远期预后依赖于Nrf2激活阻断铁衰老通路”。</w:t>
      </w:r>
    </w:p>
    <w:p w14:paraId="489ECFBA">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内容四：基于壮瑶医药理论的”药材-功效-成分-靶点”关联谱构建</w:t>
      </w:r>
    </w:p>
    <w:p w14:paraId="412C6AB1">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本内容旨在整合前期已完成工作与拟开展的新实验，构建可视化的”桂艾-功效-BCP-铁衰老靶点”关联谱。其中，桂艾挥发油GC-MS化学成分表征、BCP含量主导地位确认、GNN靶点预测及分子对接（AutoDock Vina）为前期已完成工作；拟新增工作包括：①将BCP靶点谱（NRF2、GPX4、SAT1、KEAP1等）与内容一、二中实验验证获得的差异表达基因（如p53、SLC7A11、HO-1、ACSL4等）进行网络邻近扩展和超几何富集检验，构建”道地桂艾-壮瑶医功效-挥发油主成分BCP-铁衰老靶点-Nrf2/4-HNE/p53信号通路”的精准关联谱；②通过文献挖掘与公共数据库（DisGeNET、CTD）整合，评估BCP靶点与CIRI临床表型的关联强度。BCP与SAT1/Keap1的直接结合验证（CETSA/SPR）已纳入内容二作为细胞机制研究的首批实验，本内容不再重复，但将直接引用其实验结果以完善关联谱的</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成分-靶点”边。</w:t>
      </w:r>
    </w:p>
    <w:p w14:paraId="41450EC3">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2.3拟解决的关键科学问题</w:t>
      </w:r>
    </w:p>
    <w:p w14:paraId="42AE1D0B">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关键科学问题一：CIRI半暗带中，4-HNE如何实现从”Keap1-Nrf2防御激活剂”向”DDR-p53衰老诱导剂”的功能转换？其细胞内浓度阈值和动力学特征是什么？</w:t>
      </w:r>
    </w:p>
    <w:p w14:paraId="20F5E42E">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关键科学问题二：BCP作为SAT1调控分子和Nrf2间接激动剂，如何通过双重缓冲作用将4-HNE水平压制在阈值以下，从而切断”4-HNE-p53-SLC7A11”正反馈环路并阻止神经元衰老转向？</w:t>
      </w:r>
    </w:p>
    <w:p w14:paraId="01A77533">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关键科学问题三：BCP在整体动物水平改善CIRI远期神经功能恢复的效应是否严格依赖于Nrf2激活？</w:t>
      </w:r>
    </w:p>
    <w:p w14:paraId="42B5CC54">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0"/>
          <w:szCs w:val="30"/>
          <w:woUserID w:val="2"/>
        </w:rPr>
      </w:pPr>
      <w:r>
        <w:rPr>
          <w:rFonts w:hint="default" w:ascii="Times New Roman" w:hAnsi="Times New Roman" w:eastAsia="等线" w:cs="Times New Roman"/>
          <w:b/>
          <w:bCs/>
          <w:kern w:val="0"/>
          <w:sz w:val="30"/>
          <w:szCs w:val="30"/>
          <w:lang w:val="en-US" w:eastAsia="zh-CN" w:bidi="ar"/>
          <w:woUserID w:val="2"/>
        </w:rPr>
        <w:t>3.拟采取的研究方案及可行性分析</w:t>
      </w:r>
    </w:p>
    <w:p w14:paraId="46661AEA">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3.1研究方案</w:t>
      </w:r>
    </w:p>
    <w:p w14:paraId="5909AE4C">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3.1.1动物模型与样本量</w:t>
      </w:r>
    </w:p>
    <w:p w14:paraId="18C0EBEC">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采用雄性SD大鼠（250–280 g），改良Longa线栓法建立大脑中动脉闭塞/再灌注（MCAO/R，缺血60 min）模型，激光多普勒血流仪监测局部脑血流确保梗死一致性。假手术组仅分离血管不插线。依据预实验TTC染色结果（模型组梗死体积58.44%，BCP干预组预期降至34%，合并标准差约12%，Cohen’s d≈2.03），采用G*Power 3.1按单因素方差分析（α=0.05，Power=0.80，组数=7，中等效应量f=0.40）计算每组最低n=10；考虑15%造模失败率和20%术后死亡率，按1.5倍膨胀系数确定n=12/组。</w:t>
      </w:r>
    </w:p>
    <w:p w14:paraId="6AF05265">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3.1.2细胞模型</w:t>
      </w:r>
    </w:p>
    <w:p w14:paraId="4C6AF05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原代皮层神经元取自新生SD大鼠（P0–P2），采用Neurobasal培养基+B27+N2培养，MAP2免疫荧光鉴定纯度&gt;95%；原代星形胶质细胞采用差速贴壁法分离，GFAP鉴定纯度&gt;90%。铁依赖性SIPS诱导采用双模型：①低剂量Erastin（0.1–0.5μM）处理24 h后洗脱，继续培养48、72、96 h；②OGD/R：无糖Earle’s平衡盐溶液，95%N₂/5%CO₂孵育2 h后复氧24、48、72、96 h。选择Erastin模型的依据在于其可特异性抑制System Xc⁻，耗竭GSH并诱导脂质ROS累积，与CIRI再灌注期氧化应激爆发及GSH耗竭的病理特征具有机制同源性；OGD/R模型则直接模拟缺血再灌注的能量代谢障碍与氧化还原紊乱。通过设置48–96 h延长观察窗口，可捕捉SIPS标志物（SA-β-gal、p21/p16、SASP）由瞬时应激反应向稳定衰老表型转化的动态过程。需要说明的是，两种体外模型均无法完全复现CIRI体内复杂的神经血管单元交互、炎症浸润及血脑屏障破坏，因此体外阳性结果需通过MCAO/R整体模型进一步验证，研究结论的外推将保持审慎。</w:t>
      </w:r>
    </w:p>
    <w:p w14:paraId="676339DC">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3.1.3关键检测技术</w:t>
      </w:r>
    </w:p>
    <w:p w14:paraId="33456AEB">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铁死亡检测：C11-BODIPY 581/591探针流式及荧光显微镜检测脂质ROS；FerroOrange探针检测Fe²⁺；铁含量比色法（Ferrozine法）；MDA试剂盒测定脂质过氧化；GSH/GSSG比值测定；WB检测GPX4、ACSL4、FTH1、SLC7A11、SAT1。</w:t>
      </w:r>
    </w:p>
    <w:p w14:paraId="70705694">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衰老检测：SA-β-gal染色（pH 6.0）；EdU掺入实验；WB检测p53/p-p53（Ser15）、p21、p16、γH2AX；ELISA/qPCR检测SASP因子IL-6、IL-1β、TNF-α、MMP-3。</w:t>
      </w:r>
    </w:p>
    <w:p w14:paraId="09018270">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4-HNE阈值与时序分析：采用LC-MS/MS（MRM模式，d3-4-HNE内标）定量脑组织及细胞裂解液中游离4-HNE和4-HNE-蛋白加合物水平；在体外建立4-HNE外源性梯度处理（0、1、5、10、25、50μM，6–24 h），同步检测Nrf2核转位、HO-1表达、p-p53（Ser15）、p21及SLC7A11蛋白水平，拟合剂量-效应曲线以界定防御激活与衰老诱导的转换阈值；在MCAO/R体内模型中按6 h/24 h/3 d/7 d时间轴采集半暗带组织，验证阈值转换的时序特征。</w:t>
      </w:r>
    </w:p>
    <w:p w14:paraId="7E4D41E9">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机制验证：4-HNE加合物IP/IB检测4-HNE-Keap1和4-HNE-p53时序变化（鉴于4-HNE通过醛基与蛋白Cys/Lys/His残基形成的Michael加成物及Schiff碱具有可逆性，细胞裂解后立即加入NaBH₄或NaCNBH₃进行还原稳定化处理，将可逆加合物转化为稳定胺键衍生物；采用特异性抗4-HNE抗体如HNE11-S进行免疫沉淀，联合Keap1/p53抗体进行IB检测；设置未处理阴性对照、4-HNE/4-HNE-Cys阳性对照及同型IgG对照以验证抗体特异性与体系有效性）；Nrf2核浆分离WB；ARE荧光素酶报告基因；HO-1、NQO1表达；ML385（Nrf2抑制剂，30 mg/kg体内/5μM体外）挽救实验；siRNA-Nrf2敲低；CETSA验证BCP与Keap1/SAT1直接结合；分子对接及SPR验证。</w:t>
      </w:r>
    </w:p>
    <w:p w14:paraId="3AD4F5A4">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行为学与组织学：mNSS评分、转棒试验、足误试验、Morris水迷宫；TTC染色测梗死体积、干/湿重法测脑水肿、HE及Nissl染色、TUNEL染色。</w:t>
      </w:r>
    </w:p>
    <w:p w14:paraId="0CA95A8C">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3.1.4统计分析</w:t>
      </w:r>
    </w:p>
    <w:p w14:paraId="79218966">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数据以mean±SD表示，GraphPad Prism 9.0分析。两组比较采用独立样本t检验或Mann-Whitney U检验；多组比较采用单因素方差分析+Tukey或Dunnett事后检验；重复测量数据采用重复测量方差分析。多重比较采用Benjamini-Hochberg法FDR校正，q&lt;0.05。显著性水平α=0.05，检验效能Power=0.80。</w:t>
      </w:r>
    </w:p>
    <w:p w14:paraId="42B95FA0">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3.2可行性分析</w:t>
      </w:r>
    </w:p>
    <w:p w14:paraId="7277DC4E">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理论可行性：铁死亡和细胞衰老是CIRI研究的前沿热点，二者交互作用（铁衰老）日益受到关注。Gao等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Gao et al.,2026</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正式提出铁衰老范式，Liu等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Liu et al.,2026b</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在灵长类中证实ACSL4介导的脂质过氧化驱动铁衰老，提供了重要的理论支撑。</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提出的4-HNE-p53-SLC7A11正反馈环路由以下独立证据支撑：4-HNE可诱导细胞衰老</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Monroe et al.,2025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；p53可抑制SLC7A11促进铁死亡</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Jiang et al.,2015</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；Nrf2作为铁死亡防御与衰老抑制的共同枢纽已确立</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Wang et al.,2022;关伟彬等,2024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；BCP通过Nrf2/HO-1抑制CIRI铁死亡已被Hu等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Hu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直接证实。需要客观指出的是，4-HNE通过p53抑制SLC7A11并驱动铁死亡-衰老正反馈的完整证据链目前主要来源于肿瘤等体外模型，在CIRI脑组织中的直接验证尚属空白，这正是拟解决的关键科学问题。</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将通过LC-MS/MS定量、时序IP/IB及体内外功能挽救实验，系统界定该环路在CIRI中的浓度阈值与时序特征。</w:t>
      </w:r>
    </w:p>
    <w:p w14:paraId="7D0AE722">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技术可行性：本团队已建立成熟的大鼠MCAO/R模型、原代神经细胞培养体系、WB、免疫荧光、流式细胞术、行为学检测等技术平台。铁死亡及细胞衰老表征技术（C11-BODIPY、FerroOrange、SA-β-gal、4-HNE加合物IP）均为成熟方法。体外Erastin与OGD/R模型可在细胞水平模拟铁死亡应激与GSH耗竭，但无法完全复现CIRI体内神经血管单元、炎症浸润及血脑屏障破坏等复杂因素，因此本研究将体外结果仅作为机制假设的支持证据，最终结论严格建立在MCAO/R整体动物模型验证基础之上。动物实验中3 h延迟给药窗口参照啮齿类病理时程与临床溶栓时间窗设定，6 h延迟亚组作为探索性设计，其结果可为后续临床转化研究提供方向，但不作为确证性疗效证据。桂艾来源明确（广西本土种植），BCP为商品化高纯度试剂（Sigma，≥98.5%），关键抑制剂（ML385、Fer-1、Liproxstatin-1、Navitoclax）均已商用。此外，本团队已具备系统的多组学公共数据挖掘与整合分析能力（详见研究基础），前期利用GSE233815转录组、空间、单细胞及Metabolomics Workbench代谢组数据完成了铁衰老假说的多维度预验证，证明所涉及的生物信息学技术路线成熟可行，为实验数据的生信分析提供了坚实保障。</w:t>
      </w:r>
    </w:p>
    <w:p w14:paraId="7931E5C9">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0"/>
          <w:szCs w:val="30"/>
          <w:woUserID w:val="2"/>
        </w:rPr>
      </w:pPr>
      <w:r>
        <w:rPr>
          <w:rFonts w:hint="default" w:ascii="Times New Roman" w:hAnsi="Times New Roman" w:eastAsia="等线" w:cs="Times New Roman"/>
          <w:b/>
          <w:bCs/>
          <w:kern w:val="0"/>
          <w:sz w:val="30"/>
          <w:szCs w:val="30"/>
          <w:lang w:val="en-US" w:eastAsia="zh-CN" w:bidi="ar"/>
          <w:woUserID w:val="2"/>
        </w:rPr>
        <w:t>4.本项目的特色与创新之处</w:t>
      </w:r>
    </w:p>
    <w:p w14:paraId="1E40D66E">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b/>
          <w:bCs/>
          <w:kern w:val="0"/>
          <w:sz w:val="24"/>
          <w:szCs w:val="24"/>
          <w:lang w:val="en-US" w:eastAsia="zh-CN" w:bidi="ar"/>
          <w:woUserID w:val="2"/>
        </w:rPr>
        <w:t>理论创新</w:t>
      </w:r>
      <w:r>
        <w:rPr>
          <w:rFonts w:hint="default" w:ascii="Times New Roman" w:hAnsi="Times New Roman" w:eastAsia="等线" w:cs="Times New Roman"/>
          <w:kern w:val="0"/>
          <w:sz w:val="24"/>
          <w:szCs w:val="24"/>
          <w:lang w:val="en-US" w:eastAsia="zh-CN" w:bidi="ar"/>
          <w:woUserID w:val="2"/>
        </w:rPr>
        <w:t>：率先在CIRI领域提出并系统验证铁衰老新假说，阐明4-HNE随时间推移由激活Nrf2防御向驱动p53衰老转变的选择性机制，为解析缺血性脑损伤的慢性化机制提供新视角。</w:t>
      </w:r>
    </w:p>
    <w:p w14:paraId="59CB3F1C">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机制创新：针对BCP研究多停留于药效学的现状，系统解析其通过</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下调SAT1介导的氧化应激放大与激活Nrf2抗氧化防御”协同机制阻断铁死亡与细胞衰老的级联机制，明确BCP→SAT1↓/Nrf2↑→GPX4↑/4-HNE↓→阻断p53→SLC7A11↑轴，揭示其对</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4-HNE-p53-SLC7A11”正反馈环路的精准调控，诠释壮瑶药</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通龙路火路、清解邪毒”的科学内涵。</w:t>
      </w:r>
    </w:p>
    <w:p w14:paraId="52C55CDB">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模式创新：构建</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道地药材-壮瑶医功效-含量主导成分-GNN机制解释-铁衰老靶点”的整合研究模式，突出化学事实在药效物质锁定中的优先地位，明确计算工具的后置解释功能，为民族药现代化研究提供可复制的范例。</w:t>
      </w:r>
    </w:p>
    <w:p w14:paraId="332A2EE3">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0"/>
          <w:szCs w:val="30"/>
          <w:woUserID w:val="2"/>
        </w:rPr>
      </w:pPr>
      <w:r>
        <w:rPr>
          <w:rFonts w:hint="default" w:ascii="Times New Roman" w:hAnsi="Times New Roman" w:eastAsia="等线" w:cs="Times New Roman"/>
          <w:b/>
          <w:bCs/>
          <w:kern w:val="0"/>
          <w:sz w:val="30"/>
          <w:szCs w:val="30"/>
          <w:lang w:val="en-US" w:eastAsia="zh-CN" w:bidi="ar"/>
          <w:woUserID w:val="2"/>
        </w:rPr>
        <w:t>5.年度研究计划及预期研究结果</w:t>
      </w:r>
    </w:p>
    <w:p w14:paraId="47EC4EAB">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sz w:val="32"/>
          <w:szCs w:val="32"/>
          <w:woUserID w:val="2"/>
        </w:rPr>
      </w:pPr>
      <w:r>
        <w:rPr>
          <w:rFonts w:hint="default" w:ascii="Times New Roman" w:hAnsi="Times New Roman" w:eastAsia="等线" w:cs="Times New Roman"/>
          <w:kern w:val="0"/>
          <w:sz w:val="24"/>
          <w:szCs w:val="24"/>
          <w:lang w:val="en-US" w:eastAsia="zh-CN" w:bidi="ar"/>
          <w:woUserID w:val="2"/>
        </w:rPr>
        <w:t xml:space="preserve"> </w:t>
      </w:r>
    </w:p>
    <w:p w14:paraId="746D34B7">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2"/>
          <w:szCs w:val="32"/>
          <w:woUserID w:val="2"/>
        </w:rPr>
      </w:pPr>
      <w:r>
        <w:rPr>
          <w:rFonts w:hint="default" w:ascii="Times New Roman" w:hAnsi="Times New Roman" w:eastAsia="等线" w:cs="Times New Roman"/>
          <w:b/>
          <w:bCs/>
          <w:kern w:val="0"/>
          <w:sz w:val="32"/>
          <w:szCs w:val="32"/>
          <w:lang w:val="en-US" w:eastAsia="zh-CN" w:bidi="ar"/>
          <w:woUserID w:val="2"/>
        </w:rPr>
        <w:t>（二）研究基础与工作条件</w:t>
      </w:r>
    </w:p>
    <w:p w14:paraId="1EC7236D">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30"/>
          <w:szCs w:val="30"/>
          <w:woUserID w:val="2"/>
        </w:rPr>
      </w:pPr>
      <w:r>
        <w:rPr>
          <w:rFonts w:hint="default" w:ascii="Times New Roman" w:hAnsi="Times New Roman" w:eastAsia="等线" w:cs="Times New Roman"/>
          <w:b/>
          <w:bCs/>
          <w:kern w:val="0"/>
          <w:sz w:val="30"/>
          <w:szCs w:val="30"/>
          <w:lang w:val="en-US" w:eastAsia="zh-CN" w:bidi="ar"/>
          <w:woUserID w:val="2"/>
        </w:rPr>
        <w:t>1.研究基础</w:t>
      </w:r>
    </w:p>
    <w:p w14:paraId="68009C71">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研究基础基于前期已完成的预实验工作和数据积累，重点展示验证核心假说所需的技术能力、初步证据及数据吻合性。</w:t>
      </w:r>
    </w:p>
    <w:p w14:paraId="144E7777">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1.1药效物质基础：GC-MS明确BCP为桂艾挥发油绝对主成分</w:t>
      </w:r>
    </w:p>
    <w:p w14:paraId="3D17FF0C">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已完成广西道地桂艾挥发油的GC-MS系统分析。采用水蒸气蒸馏法提取广西本土种植艾草2年陈化挥发油，经GC-MS共识别出84种成分。定量结果显示，β-石竹烯（BCP）相对含量为10.2181%，显著高于对伞花烃（8.5073%）、L-樟脑（7.6772%）、顺式菊醇（5.5966%）、α-侧柏酮（4.6427%）、桉叶油素（4.5412%）等其他主要成分，为艾叶挥发油的绝对主成分。</w:t>
      </w:r>
    </w:p>
    <w:p w14:paraId="3CA624D5">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1.2铁衰老标签构建与跨数据集验证</w:t>
      </w:r>
    </w:p>
    <w:p w14:paraId="470FC4B2">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整合GSE104036、GSE16561、GSE61616、GSE97537及GSE233815等5个脑缺血数据集，构建了96基因铁衰老分子标签。该标签覆盖铁代谢（TFRC、FTH1）、脂质过氧化（ACSL4、GPX4、LPCAT3）、抗氧化防御（NFE2L2、HMOX1、KEAP1）及炎症信号（PTGS2、IL1B、IL6）等关键通路。跨数据集验证显示，FA-96评分区分疾病与对照的效应量大于单纯铁死亡或衰老评分，提示铁衰老基因集与缺血性脑损伤关联更为紧密。在GSE16561、GSE61616、GSE97537三个独立数据集中，FA-96评分均能显著区分疾病与对照状态（Spearmanρ=0.56–0.88），验证了该标签的跨物种稳健性。</w:t>
      </w:r>
    </w:p>
    <w:p w14:paraId="498B594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经LASSO稳定性筛选（50次重复6折交叉验证），获得SAT1、EBF3、KLF6、LIFR、CD74共5个CIRI-铁衰老特征基因。其中SAT1选择频率达96%，最终系数0.42，Cohen’s d=1.11，为BCP的高置信度候选靶标；KLF6（88%）、CD74（70%）、LIFR（72%）为一阶PPI邻居，EBF3（88%）选择频率高但机制待探索。</w:t>
      </w:r>
    </w:p>
    <w:p w14:paraId="08BCBBD7">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1.3基于多组学公共数据的铁衰老假说预验证</w:t>
      </w:r>
    </w:p>
    <w:p w14:paraId="50981AE0">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1.3.1转录组层面：铁死亡与衰老基因集在脑缺血后呈时序接力</w:t>
      </w:r>
    </w:p>
    <w:p w14:paraId="58043FBE">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利用GSE233815小鼠MCAO bulk RNA-seq数据（48样本、5时间点：Ctrl、12h、1DPI、3DPI、7DPI）</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Zucha et al.,2024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进行GSEA分析，结果显示铁死亡基因集在再灌注后12 h–1 d即显著富集（NES&gt;1.5,FDR&lt;0.05），7DPI部分回落；而细胞衰老基因集富集峰值后移至3–7 d。本课题组构建的96基因铁衰老标签（FA-96）同样呈现在急性期快速升高、慢性期持续激活的时序模式（见研究基础附图1）。这从群体转录组层面初步支持”急性铁死亡向慢性衰老转化”的时序规律。</w:t>
      </w:r>
    </w:p>
    <w:p w14:paraId="34783FA4">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1.3.2空间定位：铁衰老信号集中分布于梗死半暗带</w:t>
      </w:r>
    </w:p>
    <w:p w14:paraId="4B071817">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进一步基于同一研究的10x Visium空间转录组数据，</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使用UCell计算铁衰老标签得分，发现铁死亡及铁衰老信号在梗死核心和周边半暗带区域显著富集，而在对侧健康脑区呈低背景水平。神经元比例与铁死亡得分呈显著负相关（Spearmanρ≈-0.45，p&lt;0.001），提示铁死亡优先发生于神经元丢失区域（见研究基础附图2）。该结果为铁衰老在CIRI半暗带的定位提供了空间维度证据，并为选择半暗带组织进行后续分子检测提供了直接依据。</w:t>
      </w:r>
    </w:p>
    <w:p w14:paraId="56224F39">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1.3.3单细胞解析：神经元是铁衰老的主要载体，SAT1与铁死亡得分正相关</w:t>
      </w:r>
    </w:p>
    <w:p w14:paraId="75243018">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在单细胞水平（GSE233815 snRNA-seq,7,414个细胞核），</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发现铁死亡和铁衰老得分在7 DPI的神经元、少突胶质细胞和星形胶质细胞中显著升高。多胺氧化酶SAT1的表达与铁死亡得分呈显著正相关（ρ=0.38,p&lt;1e-10），且主要定位于神经元亚群。Augur分析显示神经元和小胶质细胞是缺血后转录组扰动最显著的细胞类型（见研究基础附图3），进一步支持以神经元为铁衰老核心靶细胞的研究策略。</w:t>
      </w:r>
    </w:p>
    <w:p w14:paraId="25709544">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4"/>
          <w:szCs w:val="24"/>
          <w:woUserID w:val="2"/>
        </w:rPr>
      </w:pPr>
      <w:r>
        <w:rPr>
          <w:rFonts w:hint="default" w:ascii="Times New Roman" w:hAnsi="Times New Roman" w:eastAsia="等线" w:cs="Times New Roman"/>
          <w:b/>
          <w:bCs/>
          <w:kern w:val="0"/>
          <w:sz w:val="24"/>
          <w:szCs w:val="24"/>
          <w:lang w:val="en-US" w:eastAsia="zh-CN" w:bidi="ar"/>
          <w:woUserID w:val="2"/>
        </w:rPr>
        <w:t>1.3.4代谢组与跨组学整合：SAT1-多胺轴是铁衰老的跨物种保守节点</w:t>
      </w:r>
    </w:p>
    <w:p w14:paraId="4154E22D">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为验证铁衰老的代谢基础，</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整合了Metabolomics Workbench正常脑衰老代谢组数据（ST001637,521样本）进行跨组学通路映射。在8条预设的基因-代谢物通路轴中，SAT1-多胺轴呈现最强跨组学证据（5/7代谢物变化方向与基因预期一致，匹配率71%），表现为衰老脑中鸟氨酸、N8-乙酰亚精胺和腐胺显著下降，与SAT1激活促进多胺乙酰化耗竭的理论一致。SLC1A5-谷氨酸/半胱氨酸轴匹配率达62%，支持System Xc⁻抑制导致GSH合成受损的机制。此外，铁死亡通路（mmu04216）在KEGG整合中被FA-96基因直接锚定（见研究基础附图4）。上述独立代谢组证据从功能代谢层面进一步强化了SAT1-多胺耗竭及铁死亡在脑衰老与脑缺血中的共同节点地位。</w:t>
      </w:r>
    </w:p>
    <w:p w14:paraId="4BE2C539">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综上，基于独立公共数据的多组学整合分析，为提出的</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铁死亡驱动细胞衰老”假说及”SAT1-4-HNE-p53-SLC7A11”正反馈环路提供了跨物种、跨组学、从基因到代谢的系统层面的前期验证证据。</w:t>
      </w:r>
    </w:p>
    <w:p w14:paraId="1AEA767D">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1.4计算生物学与网络药理学基础</w:t>
      </w:r>
    </w:p>
    <w:p w14:paraId="6FE4FF0F">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建立了SAGE/HGT/SimpleHGN三分支异质图神经网络药物-靶点预测平台。在整合化合物-蛋白互作、蛋白-蛋白互作、通路关联及疾病表型的四模态异质图上进行链接预测训练，SimpleHGN表现最优（AUPR=0.9564，AUC=0.9992），HGT（AUPR=0.7806）和SAGE（AUPR=0.7779）次之。</w:t>
      </w:r>
    </w:p>
    <w:p w14:paraId="65990550">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CN" w:bidi="ar"/>
          <w:woUserID w:val="2"/>
        </w:rPr>
        <w:t>针对BCP的靶点预测结果显示：NFE2L2（Nrf2）预测分数达0.7795，GPX4为0.5392，HMOX1为0.5861，SLC7A11为0.4103，KEAP1为0.6025；而ACSL4（0.2837）、LPCAT3（0.2780）得分相对较低，提示BCP的抗铁死亡机制可能以Nrf2通路激活为主。STRING网络分析显示BCP靶点群与铁死亡调控网络高度拓扑关联（超几何检验P=2.48×10⁻⁴³），与细胞衰老、Nrf2抗氧化反应、p53信号、GSH代谢等通路均显著富集。</w:t>
      </w:r>
    </w:p>
    <w:p w14:paraId="0FEDA7C5">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1.5分子对接与靶点结合验证</w:t>
      </w:r>
    </w:p>
    <w:p w14:paraId="5BA1F23F">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从PubChem数据库获取BCP标准化SMILES结构，从RCSB PDB数据库获取核心靶点人源晶体结构，采用AutoDock Vina进行分子对接。结果显示：BCP与SAT1（PDB:2B4B）结合能为-7.405 kcal/mol，占据其CoA活性位点，P2Rank可药化评分49.51；与KLF6（PDB:7QPG）结合能为-7.232 kcal/mol；与CD74（PDB:1L3H）结合能为-5.113 kcal/mol；与LIFR（PDB:2Q7N）结合能为-6.700 kcal/mol。上述结果为BCP直接作用于铁衰老核心靶点提供了结构药理学依据。需要指出的是，分子对接仅提示BCP与SAT1等靶点存在潜在结合可能性，BCP与SAT1的直接物理结合关系尚需通过CETSA（细胞热位移分析）和SPR（表面等离子体共振）实验进一步确证。</w:t>
      </w:r>
    </w:p>
    <w:p w14:paraId="47B3F464">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1.6单细胞图谱与细胞通讯分析</w:t>
      </w:r>
    </w:p>
    <w:p w14:paraId="234C9656">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基于GSE233815大鼠脑缺血snRNA-seq数据集（7,414个单核，25种细胞类型），系统构建了CIRI单细胞转录组图谱。采用AddModuleScore方法计算96基因铁衰老评分，结果显示铁衰老评分在MCAO组显著高于对照组，且在小胶质细胞、星形胶质细胞、神经元中呈现差异化分布。进一步采用SCISSOR算法识别了与CIRI表型显著相关的Scissor+细胞亚群，并通过CellChatDB解析了再灌注后HMGB1、TNF、IL-6等促炎通路的细胞间通讯网络，为BCP的抗炎神经保护机制提供了系统层面的证据。</w:t>
      </w:r>
    </w:p>
    <w:p>
      <w:pPr>
        <w:pStyle w:val="3"/>
        <w:spacing w:before="240" w:after="120"/>
        <w:ind w:firstLineChars="0" w:firstLine="0"/>
        <w:jc w:val="left"/>
      </w:pPr>
      <w:r>
        <w:rPr>
          <w:rFonts w:ascii="宋体" w:eastAsia="宋体" w:hAnsi="宋体" w:hint="eastAsia"/>
          <w:b/>
          <w:sz w:val="24"/>
        </w:rPr>
        <w:t>1.7单细胞拟时序分析与细胞类型优先级排序</w:t>
      </w:r>
    </w:p>
    <w:p>
      <w:pPr>
        <w:pStyle w:val="2"/>
        <w:spacing w:line="360" w:lineRule="auto" w:before="60" w:after="60"/>
        <w:ind w:firstLineChars="200" w:firstLine="480"/>
        <w:jc w:val="both"/>
      </w:pPr>
      <w:r>
        <w:rPr>
          <w:rFonts w:ascii="宋体" w:eastAsia="宋体" w:hAnsi="宋体" w:hint="eastAsia"/>
          <w:sz w:val="24"/>
        </w:rPr>
        <w:t>为解析铁衰老特征在神经元亚群中的动态演化轨迹, 申请人采用monocle3 (Qiu et al., 2017, Nat Methods, PMID:28825705) 对GSE233815 snRNA-seq中的神经元亚群 (NeuronsGABA与NeuronsGLUT, n=4,787) 进行拟时序分析。具体流程: (1)通过SeuratWrappers::as.cell_data_set将Seurat v5对象转换为cell_data_set (CDS); (2)使用cluster_cells进行UMAP空间聚类, learn_graph学习主图轨迹; (3)以对照组 (Ctrl/sham) 神经元占多数的principal graph node为根节点 (root_pr_nodes), 通过order_cells计算所有细胞沿轨迹的pseudotime; (4)提取4个铁衰老核心基因集 (Ferroptosis/Senescence/Ferrosenescence/Ferroaging) 的UCell评分, 沿pseudotime绘制LOESS平滑曲线 (span=0.4) 展示动态变化趋势。</w:t>
      </w:r>
    </w:p>
    <w:p>
      <w:pPr>
        <w:pStyle w:val="2"/>
        <w:spacing w:line="360" w:lineRule="auto" w:before="60" w:after="60"/>
        <w:ind w:firstLineChars="200" w:firstLine="480"/>
        <w:jc w:val="both"/>
      </w:pPr>
      <w:r>
        <w:rPr>
          <w:rFonts w:ascii="宋体" w:eastAsia="宋体" w:hAnsi="宋体" w:hint="eastAsia"/>
          <w:sz w:val="24"/>
        </w:rPr>
        <w:t>同时, 为定量评估各细胞类型在缺血再灌注不同时间点的转录组扰动强度, 采用Augur (Skinnider et al., 2021, Nat Biotechnol, PMID:32690972; Squair et al., 2021, Nat Protoc, PMID:34172974) 进行细胞类型优先级排序。Augur核心思想: 若某细胞类型在扰动条件下转录组可分类性越高 (AUC接近1.0), 则该类型受扰动越强。参数设置: 随机森林分类器 (rf), n_subsamples=50 (官方默认), subsample_size=20 (每次每条件抽样细胞数), folds=3, feature_perc=0.5; 为保留时间点特异差异, 按时间点分层分析 (1DPI/3DPI/7DPI vs Ctrl分别独立运行), 而非将所有非Ctrl条件合并为单一stim组; 每细胞类型抽样上限500细胞以控制运行时长。结果显示1DPI急性期Microglia扰动最强 (AUC=0.811), 其次为NeuronsGLUT (0.768) 和NeuronsGABA (0.720), 7DPI恢复期各细胞类型AUC回落至基线附近 (0.50-0.56), 符合缺血再灌注急性损伤-慢性修复的时序规律。</w:t>
      </w:r>
    </w:p>
    <w:p w14:paraId="7393871A">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1.8实验技术平台与预实验结果</w:t>
      </w:r>
    </w:p>
    <w:p w14:paraId="0428861C">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已建立成熟的大鼠MCAO/R模型、原代皮层神经元/星形胶质细胞培养、WB、免疫荧光、流式细胞术、行为学检测、分子对接等实验技术。预实验TTC染色显示，BCP（204 mg/kg）可显著减小MCAO/R大鼠脑梗死体积，模型组脑梗死体积百分比为58.44%，BCP干预组降至约34%（绝对降幅约24.4%，相对降幅41.8%），提示BCP具有良好的神经保护药效基础。该预实验结果为后续正式实验的样本量估算（G*Power计算n=12/组）提供了直接依据。</w:t>
      </w:r>
    </w:p>
    <w:p w14:paraId="6E6C6D99">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1.9与已有文献的一致性与互补性</w:t>
      </w:r>
    </w:p>
    <w:p w14:paraId="71335FB9">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前期工作与国内外相关研究高度吻合：①GC-MS确定的BCP含量主导地位，与艾叶挥发油化学成分研究一致；②GNN预测的BCP-Nrf2/GPX4/SAT1靶点谱，与Hu等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Hu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报道的BCP通过Nrf2/HO-1抑制CIRI铁死亡、Li</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Li,2024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报道的BCP降低4-HNE等结果相互印证；③LASSO筛选的SAT1作为BCP高置信度候选靶标，其直接结合关系拟通过CETSA和SPR实验进一步确证，与Wan等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Wan et al.,2023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、Ren等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Ren et al.,2024</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报道的SAT1/ALOX15及p53/SAT1/ALOX15轴在神经系统疾病中介导铁死亡的研究相互呼应，也与李尤研究中BCP抑制多胺氧化介导铁死亡的机制相吻合；④预实验显示的BCP减小梗死体积效应，与Chang等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Chang et al.,2013</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、Lou等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Lou et al.,2016</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、Hu等</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Hu et al.,2022</w:t>
      </w:r>
      <w:r>
        <w:rPr>
          <w:rFonts w:hint="default" w:ascii="Times New Roman" w:hAnsi="Times New Roman" w:eastAsia="等线" w:cs="Times New Roman"/>
          <w:kern w:val="0"/>
          <w:sz w:val="24"/>
          <w:szCs w:val="24"/>
          <w:lang w:eastAsia="zh-CN" w:bidi="ar"/>
          <w:woUserID w:val="2"/>
        </w:rPr>
        <w:t>)</w:t>
      </w:r>
      <w:r>
        <w:rPr>
          <w:rFonts w:hint="default" w:ascii="Times New Roman" w:hAnsi="Times New Roman" w:eastAsia="等线" w:cs="Times New Roman"/>
          <w:kern w:val="0"/>
          <w:sz w:val="24"/>
          <w:szCs w:val="24"/>
          <w:lang w:val="en-US" w:eastAsia="zh-CN" w:bidi="ar"/>
          <w:woUserID w:val="2"/>
        </w:rPr>
        <w:t>等多项独立研究结果一致。上述一致性增强了假说的可信度，也为后续机制深入研究奠定了基础。</w:t>
      </w:r>
    </w:p>
    <w:p w14:paraId="23038407">
      <w:pPr>
        <w:keepNext w:val="0"/>
        <w:keepLines w:val="0"/>
        <w:widowControl/>
        <w:suppressLineNumbers w:val="0"/>
        <w:spacing w:before="0" w:beforeAutospacing="1" w:after="200" w:afterAutospacing="0" w:line="360" w:lineRule="auto"/>
        <w:ind w:left="0" w:right="0"/>
        <w:jc w:val="left"/>
        <w:rPr>
          <w:rFonts w:hint="default" w:ascii="Times New Roman" w:hAnsi="Times New Roman" w:eastAsia="等线" w:cs="Times New Roman"/>
          <w:b/>
          <w:bCs/>
          <w:sz w:val="28"/>
          <w:szCs w:val="28"/>
          <w:woUserID w:val="2"/>
        </w:rPr>
      </w:pPr>
      <w:r>
        <w:rPr>
          <w:rFonts w:hint="default" w:ascii="Times New Roman" w:hAnsi="Times New Roman" w:eastAsia="等线" w:cs="Times New Roman"/>
          <w:b/>
          <w:bCs/>
          <w:kern w:val="0"/>
          <w:sz w:val="28"/>
          <w:szCs w:val="28"/>
          <w:lang w:val="en-US" w:eastAsia="zh-CN" w:bidi="ar"/>
          <w:woUserID w:val="2"/>
        </w:rPr>
        <w:t>1.10壮瑶医药理论研究积累</w:t>
      </w:r>
    </w:p>
    <w:p w14:paraId="72211FBD">
      <w:pPr>
        <w:keepNext w:val="0"/>
        <w:keepLines w:val="0"/>
        <w:widowControl/>
        <w:suppressLineNumbers w:val="0"/>
        <w:spacing w:before="0" w:beforeAutospacing="1" w:after="200" w:afterAutospacing="0" w:line="360" w:lineRule="auto"/>
        <w:ind w:left="0" w:right="0"/>
        <w:jc w:val="both"/>
        <w:rPr>
          <w:rFonts w:hint="default" w:ascii="Times New Roman" w:hAnsi="Times New Roman" w:eastAsia="等线" w:cs="Times New Roman"/>
          <w:sz w:val="24"/>
          <w:szCs w:val="24"/>
          <w:woUserID w:val="2"/>
        </w:rPr>
      </w:pP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系统整理了广西壮族自治区壮药名录，明确艾叶壮药名为</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盟埃”，在壮瑶医理论中具有</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通龙路火路、除风毒寒毒”的功效定位。</w:t>
      </w:r>
      <w:r>
        <w:rPr>
          <w:rFonts w:hint="default" w:ascii="Times New Roman" w:hAnsi="Times New Roman" w:eastAsia="等线" w:cs="Times New Roman"/>
          <w:kern w:val="0"/>
          <w:sz w:val="24"/>
          <w:szCs w:val="24"/>
          <w:lang w:val="en-US" w:eastAsia="zh" w:bidi="ar"/>
          <w:woUserID w:val="2"/>
        </w:rPr>
        <w:t>申请人</w:t>
      </w:r>
      <w:r>
        <w:rPr>
          <w:rFonts w:hint="default" w:ascii="Times New Roman" w:hAnsi="Times New Roman" w:eastAsia="等线" w:cs="Times New Roman"/>
          <w:kern w:val="0"/>
          <w:sz w:val="24"/>
          <w:szCs w:val="24"/>
          <w:lang w:val="en-US" w:eastAsia="zh-CN" w:bidi="ar"/>
          <w:woUserID w:val="2"/>
        </w:rPr>
        <w:t>已将壮医</w:t>
      </w:r>
      <w:r>
        <w:rPr>
          <w:rFonts w:hint="default" w:ascii="Times New Roman" w:hAnsi="Times New Roman" w:eastAsia="等线" w:cs="Times New Roman"/>
          <w:kern w:val="0"/>
          <w:sz w:val="24"/>
          <w:szCs w:val="24"/>
          <w:lang w:val="en-US" w:eastAsia="zh" w:bidi="ar"/>
          <w:woUserID w:val="2"/>
        </w:rPr>
        <w:t>“</w:t>
      </w:r>
      <w:r>
        <w:rPr>
          <w:rFonts w:hint="default" w:ascii="Times New Roman" w:hAnsi="Times New Roman" w:eastAsia="等线" w:cs="Times New Roman"/>
          <w:kern w:val="0"/>
          <w:sz w:val="24"/>
          <w:szCs w:val="24"/>
          <w:lang w:val="en-US" w:eastAsia="zh-CN" w:bidi="ar"/>
          <w:woUserID w:val="2"/>
        </w:rPr>
        <w:t>麻邦”病证与现代CIRI病理机制进行系统对应，构建邪毒阻滞龙路火路→4-HNE等氧化脂质毒邪蓄积→铁死亡-衰老恶性循环→桂艾通两路除毒邪→BCP阻断铁衰老”的理论-现代机制衔接框架，为将壮医药理论与现代病理机制相衔接提供了理论支撑。</w:t>
      </w:r>
    </w:p>
    <w:p w14:paraId="4C1C52B4">
      <w:pPr>
        <w:keepNext w:val="0"/>
        <w:keepLines w:val="0"/>
        <w:pageBreakBefore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rPr>
      </w:pP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DejaVu Sans">
    <w:panose1 w:val="020B0603030804020204"/>
    <w:charset w:val="00"/>
    <w:family w:val="auto"/>
    <w:pitch w:val="default"/>
    <w:sig w:usb0="E7006EFF" w:usb1="D200FDFF" w:usb2="0A246029" w:usb3="0400200C" w:csb0="600001FF" w:csb1="D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F0F5">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56F2E5F"/>
    <w:rsid w:val="09B7CA09"/>
    <w:rsid w:val="0EB671CA"/>
    <w:rsid w:val="0FF5CA3D"/>
    <w:rsid w:val="13F9D5AE"/>
    <w:rsid w:val="14FD97D1"/>
    <w:rsid w:val="17F48127"/>
    <w:rsid w:val="17FAF627"/>
    <w:rsid w:val="17FE833F"/>
    <w:rsid w:val="17FF30D9"/>
    <w:rsid w:val="1B7F7F0C"/>
    <w:rsid w:val="1DFB0FE4"/>
    <w:rsid w:val="1FDF5376"/>
    <w:rsid w:val="233A9F3B"/>
    <w:rsid w:val="25F733F2"/>
    <w:rsid w:val="275A09EC"/>
    <w:rsid w:val="27B37EA4"/>
    <w:rsid w:val="2B3D113D"/>
    <w:rsid w:val="2D7E1847"/>
    <w:rsid w:val="2DCF9A4E"/>
    <w:rsid w:val="2DD204D5"/>
    <w:rsid w:val="2DF7B152"/>
    <w:rsid w:val="2F57ED2F"/>
    <w:rsid w:val="2FB18EDE"/>
    <w:rsid w:val="2FFF3FB8"/>
    <w:rsid w:val="32DF5245"/>
    <w:rsid w:val="33EF9612"/>
    <w:rsid w:val="33FF8783"/>
    <w:rsid w:val="357F93F0"/>
    <w:rsid w:val="35EFE767"/>
    <w:rsid w:val="35FDCA72"/>
    <w:rsid w:val="366BCD63"/>
    <w:rsid w:val="37AFA8B2"/>
    <w:rsid w:val="37B76AAF"/>
    <w:rsid w:val="3BFDCEEC"/>
    <w:rsid w:val="3DD74887"/>
    <w:rsid w:val="3DF5AE06"/>
    <w:rsid w:val="3DFBC81C"/>
    <w:rsid w:val="3E7B966D"/>
    <w:rsid w:val="3E7F0A0E"/>
    <w:rsid w:val="3ECD0570"/>
    <w:rsid w:val="3EF7C629"/>
    <w:rsid w:val="3F7F2F9C"/>
    <w:rsid w:val="3F9F95C6"/>
    <w:rsid w:val="3FBBE8FE"/>
    <w:rsid w:val="3FCB64D4"/>
    <w:rsid w:val="3FFFC9FA"/>
    <w:rsid w:val="4557C8D8"/>
    <w:rsid w:val="46EAFCB3"/>
    <w:rsid w:val="477D2A9D"/>
    <w:rsid w:val="49FF7A20"/>
    <w:rsid w:val="4AEB1EE6"/>
    <w:rsid w:val="4BBEEDCF"/>
    <w:rsid w:val="4CEFA763"/>
    <w:rsid w:val="4E7316F2"/>
    <w:rsid w:val="4FDFD880"/>
    <w:rsid w:val="52FE467C"/>
    <w:rsid w:val="54FEDDF5"/>
    <w:rsid w:val="56F77ACD"/>
    <w:rsid w:val="56FBA40C"/>
    <w:rsid w:val="57C33BAF"/>
    <w:rsid w:val="5873F1AE"/>
    <w:rsid w:val="5AEB1026"/>
    <w:rsid w:val="5AFCAC93"/>
    <w:rsid w:val="5BDB38DE"/>
    <w:rsid w:val="5CAFBFA5"/>
    <w:rsid w:val="5DB264B2"/>
    <w:rsid w:val="5EB73486"/>
    <w:rsid w:val="5EB9D3D1"/>
    <w:rsid w:val="5EEF2FE3"/>
    <w:rsid w:val="5EF714F3"/>
    <w:rsid w:val="5EFFD994"/>
    <w:rsid w:val="5F7AD944"/>
    <w:rsid w:val="5FB740F4"/>
    <w:rsid w:val="5FDF8ECC"/>
    <w:rsid w:val="5FF2D078"/>
    <w:rsid w:val="5FFA9051"/>
    <w:rsid w:val="5FFB17F8"/>
    <w:rsid w:val="65DECF02"/>
    <w:rsid w:val="667F78A4"/>
    <w:rsid w:val="66BF2E02"/>
    <w:rsid w:val="67F3FDD1"/>
    <w:rsid w:val="6BDFD6B5"/>
    <w:rsid w:val="6E47E5C8"/>
    <w:rsid w:val="6E58124F"/>
    <w:rsid w:val="6E6DA6D4"/>
    <w:rsid w:val="6EA7DA10"/>
    <w:rsid w:val="6EE1426F"/>
    <w:rsid w:val="6EFEC904"/>
    <w:rsid w:val="6F5D4844"/>
    <w:rsid w:val="6F77AE4D"/>
    <w:rsid w:val="6F7F7E18"/>
    <w:rsid w:val="6FBF1253"/>
    <w:rsid w:val="6FDEA289"/>
    <w:rsid w:val="6FEB9413"/>
    <w:rsid w:val="6FEC13DD"/>
    <w:rsid w:val="6FFC1FC0"/>
    <w:rsid w:val="6FFD3230"/>
    <w:rsid w:val="70BFAF44"/>
    <w:rsid w:val="71EB6282"/>
    <w:rsid w:val="72FD2C38"/>
    <w:rsid w:val="73A75DCA"/>
    <w:rsid w:val="73F7F324"/>
    <w:rsid w:val="73FF74C2"/>
    <w:rsid w:val="74F74B38"/>
    <w:rsid w:val="757D7EB3"/>
    <w:rsid w:val="759B8145"/>
    <w:rsid w:val="75EADE77"/>
    <w:rsid w:val="76639BF3"/>
    <w:rsid w:val="766F9912"/>
    <w:rsid w:val="76CFB6C1"/>
    <w:rsid w:val="76FD3A97"/>
    <w:rsid w:val="779B82F9"/>
    <w:rsid w:val="779D577E"/>
    <w:rsid w:val="77FFD7EB"/>
    <w:rsid w:val="78E341C2"/>
    <w:rsid w:val="78FEE2C0"/>
    <w:rsid w:val="79531B60"/>
    <w:rsid w:val="79F660E1"/>
    <w:rsid w:val="7AB7098F"/>
    <w:rsid w:val="7AE4C928"/>
    <w:rsid w:val="7B2FAB52"/>
    <w:rsid w:val="7B79404B"/>
    <w:rsid w:val="7B7BAF8B"/>
    <w:rsid w:val="7B918DD0"/>
    <w:rsid w:val="7BBFA484"/>
    <w:rsid w:val="7BBFE3F6"/>
    <w:rsid w:val="7BDE024A"/>
    <w:rsid w:val="7BF79962"/>
    <w:rsid w:val="7BFD8D93"/>
    <w:rsid w:val="7C5F1046"/>
    <w:rsid w:val="7CEE80E9"/>
    <w:rsid w:val="7CEE8617"/>
    <w:rsid w:val="7CFE1F41"/>
    <w:rsid w:val="7DBD5D95"/>
    <w:rsid w:val="7DFB0D63"/>
    <w:rsid w:val="7DFDB64D"/>
    <w:rsid w:val="7DFF5E80"/>
    <w:rsid w:val="7E1F23B9"/>
    <w:rsid w:val="7E386DE0"/>
    <w:rsid w:val="7EDEC14E"/>
    <w:rsid w:val="7EFB229C"/>
    <w:rsid w:val="7EFF6FEA"/>
    <w:rsid w:val="7F37776C"/>
    <w:rsid w:val="7F4A2C46"/>
    <w:rsid w:val="7F6F8FCD"/>
    <w:rsid w:val="7F7D7DE3"/>
    <w:rsid w:val="7FBE6FFD"/>
    <w:rsid w:val="7FD5CD2B"/>
    <w:rsid w:val="7FDA3FF2"/>
    <w:rsid w:val="7FF5329A"/>
    <w:rsid w:val="7FF6846D"/>
    <w:rsid w:val="7FFB5CDD"/>
    <w:rsid w:val="7FFF098F"/>
    <w:rsid w:val="7FFF7390"/>
    <w:rsid w:val="7FFF9B22"/>
    <w:rsid w:val="7FFFBA32"/>
    <w:rsid w:val="86F77E03"/>
    <w:rsid w:val="8AFA5EE2"/>
    <w:rsid w:val="8DFAD875"/>
    <w:rsid w:val="8DFF0E1F"/>
    <w:rsid w:val="9BEFAD85"/>
    <w:rsid w:val="9D7F2BCA"/>
    <w:rsid w:val="9FCEA971"/>
    <w:rsid w:val="9FDF8272"/>
    <w:rsid w:val="A7FF3A56"/>
    <w:rsid w:val="AB9E1A19"/>
    <w:rsid w:val="AE43DA55"/>
    <w:rsid w:val="AFBE5FC7"/>
    <w:rsid w:val="B0B7147B"/>
    <w:rsid w:val="B3E8C97D"/>
    <w:rsid w:val="B4C47A6C"/>
    <w:rsid w:val="B7FFFB4E"/>
    <w:rsid w:val="B9BF2F66"/>
    <w:rsid w:val="BAFFC2FB"/>
    <w:rsid w:val="BBF4D9AE"/>
    <w:rsid w:val="BC735D06"/>
    <w:rsid w:val="BCFC1014"/>
    <w:rsid w:val="BD53729A"/>
    <w:rsid w:val="BD78ABED"/>
    <w:rsid w:val="BDFB3639"/>
    <w:rsid w:val="BEF3083D"/>
    <w:rsid w:val="BEFF3174"/>
    <w:rsid w:val="BFB22F41"/>
    <w:rsid w:val="BFBDF5BD"/>
    <w:rsid w:val="BFDF1B38"/>
    <w:rsid w:val="BFDF6871"/>
    <w:rsid w:val="BFEEF1F7"/>
    <w:rsid w:val="BFF34D19"/>
    <w:rsid w:val="BFF730D4"/>
    <w:rsid w:val="BFFE834A"/>
    <w:rsid w:val="C7F1483E"/>
    <w:rsid w:val="C9FB6FC8"/>
    <w:rsid w:val="CAFA348C"/>
    <w:rsid w:val="CBFF38F2"/>
    <w:rsid w:val="CDFFD4D7"/>
    <w:rsid w:val="CF1E4493"/>
    <w:rsid w:val="CFF79864"/>
    <w:rsid w:val="D333D5AC"/>
    <w:rsid w:val="D5FDB0F3"/>
    <w:rsid w:val="D68FE690"/>
    <w:rsid w:val="DA7E0DFF"/>
    <w:rsid w:val="DAAEEBB4"/>
    <w:rsid w:val="DADB22F1"/>
    <w:rsid w:val="DBFD25B6"/>
    <w:rsid w:val="DDBF96A4"/>
    <w:rsid w:val="DDFF1357"/>
    <w:rsid w:val="DDFF8683"/>
    <w:rsid w:val="DF32DB88"/>
    <w:rsid w:val="DF376640"/>
    <w:rsid w:val="DF3E21DE"/>
    <w:rsid w:val="DF5FA43E"/>
    <w:rsid w:val="DF9F46CF"/>
    <w:rsid w:val="DFACFED7"/>
    <w:rsid w:val="DFB4DFC6"/>
    <w:rsid w:val="DFBC2896"/>
    <w:rsid w:val="DFDFD13E"/>
    <w:rsid w:val="DFF4BA54"/>
    <w:rsid w:val="DFFEE2C6"/>
    <w:rsid w:val="DFFF52D6"/>
    <w:rsid w:val="DFFFD3D5"/>
    <w:rsid w:val="E38FAA8C"/>
    <w:rsid w:val="E4EF30E6"/>
    <w:rsid w:val="E6F7867A"/>
    <w:rsid w:val="E75FEA53"/>
    <w:rsid w:val="E77B8C9A"/>
    <w:rsid w:val="E7FBB925"/>
    <w:rsid w:val="E9B611EE"/>
    <w:rsid w:val="EBB39289"/>
    <w:rsid w:val="EE3ED925"/>
    <w:rsid w:val="EEBFB106"/>
    <w:rsid w:val="EECFAADA"/>
    <w:rsid w:val="EEF4F7FB"/>
    <w:rsid w:val="EEF56609"/>
    <w:rsid w:val="EF0FF6B9"/>
    <w:rsid w:val="EF5B5FCB"/>
    <w:rsid w:val="EFBF3D9C"/>
    <w:rsid w:val="EFBFBC1C"/>
    <w:rsid w:val="EFCDFC7A"/>
    <w:rsid w:val="EFD7BCDC"/>
    <w:rsid w:val="EFFA7DD5"/>
    <w:rsid w:val="EFFB7C81"/>
    <w:rsid w:val="EFFDB7F8"/>
    <w:rsid w:val="F24F55C1"/>
    <w:rsid w:val="F2FB3F64"/>
    <w:rsid w:val="F2FF5655"/>
    <w:rsid w:val="F3B9B67D"/>
    <w:rsid w:val="F69DFFA8"/>
    <w:rsid w:val="F6EB02A2"/>
    <w:rsid w:val="F6EF106F"/>
    <w:rsid w:val="F6FD60FC"/>
    <w:rsid w:val="F70FD42B"/>
    <w:rsid w:val="F77EFA24"/>
    <w:rsid w:val="F79B6BC3"/>
    <w:rsid w:val="F7BF5055"/>
    <w:rsid w:val="F7C75B18"/>
    <w:rsid w:val="F7DCD666"/>
    <w:rsid w:val="F7DF9A15"/>
    <w:rsid w:val="F7FD7D5E"/>
    <w:rsid w:val="F7FF14E1"/>
    <w:rsid w:val="F7FF3E62"/>
    <w:rsid w:val="F7FF5FE7"/>
    <w:rsid w:val="F8BF84B5"/>
    <w:rsid w:val="F99FE5D1"/>
    <w:rsid w:val="F9DCD845"/>
    <w:rsid w:val="F9F754B7"/>
    <w:rsid w:val="FAF63ECA"/>
    <w:rsid w:val="FAFC9AD1"/>
    <w:rsid w:val="FB79B105"/>
    <w:rsid w:val="FBF9AB60"/>
    <w:rsid w:val="FBFADC9F"/>
    <w:rsid w:val="FBFBEC09"/>
    <w:rsid w:val="FBFCDC19"/>
    <w:rsid w:val="FD37DF4D"/>
    <w:rsid w:val="FD96699A"/>
    <w:rsid w:val="FDBC9B69"/>
    <w:rsid w:val="FDD38F2E"/>
    <w:rsid w:val="FDD749D3"/>
    <w:rsid w:val="FDE3E77D"/>
    <w:rsid w:val="FDE3F18D"/>
    <w:rsid w:val="FDF777D3"/>
    <w:rsid w:val="FDFDFC38"/>
    <w:rsid w:val="FE1B4BAC"/>
    <w:rsid w:val="FEAB698B"/>
    <w:rsid w:val="FEB22A31"/>
    <w:rsid w:val="FEBFEA8B"/>
    <w:rsid w:val="FEC7EA8F"/>
    <w:rsid w:val="FED73746"/>
    <w:rsid w:val="FEDB61B3"/>
    <w:rsid w:val="FEEBC7DA"/>
    <w:rsid w:val="FEF74CC9"/>
    <w:rsid w:val="FEF989F4"/>
    <w:rsid w:val="FEFBE9B7"/>
    <w:rsid w:val="FEFF536C"/>
    <w:rsid w:val="FEFFA3B6"/>
    <w:rsid w:val="FF557AB1"/>
    <w:rsid w:val="FF55A5DC"/>
    <w:rsid w:val="FF6BD035"/>
    <w:rsid w:val="FF6F6DA2"/>
    <w:rsid w:val="FF7DBF5D"/>
    <w:rsid w:val="FF7F3363"/>
    <w:rsid w:val="FFA2E00D"/>
    <w:rsid w:val="FFD73B57"/>
    <w:rsid w:val="FFD7AC02"/>
    <w:rsid w:val="FFDEC4A8"/>
    <w:rsid w:val="FFDF4BEA"/>
    <w:rsid w:val="FFDF868A"/>
    <w:rsid w:val="FFDFE008"/>
    <w:rsid w:val="FFE73C65"/>
    <w:rsid w:val="FFEBC09F"/>
    <w:rsid w:val="FFEF6DD1"/>
    <w:rsid w:val="FFF375BE"/>
    <w:rsid w:val="FFF73E88"/>
    <w:rsid w:val="FFFA818A"/>
    <w:rsid w:val="FFFE9FB1"/>
    <w:rsid w:val="FFFEF18F"/>
    <w:rsid w:val="FFFF5C42"/>
    <w:rsid w:val="FFFF5D1C"/>
    <w:rsid w:val="FFFF757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sz w:val="32"/>
      <w:szCs w:val="32"/>
    </w:rPr>
  </w:style>
  <w:style w:type="paragraph" w:styleId="3">
    <w:name w:val="heading 2"/>
    <w:next w:val="1"/>
    <w:qFormat/>
    <w:uiPriority w:val="0"/>
    <w:pPr>
      <w:spacing w:before="240" w:after="180"/>
      <w:outlineLvl w:val="1"/>
    </w:pPr>
    <w:rPr>
      <w:rFonts w:ascii="黑体" w:hAnsi="黑体" w:eastAsia="黑体" w:cs="黑体"/>
      <w:b/>
      <w:bCs/>
      <w:sz w:val="28"/>
      <w:szCs w:val="28"/>
    </w:rPr>
  </w:style>
  <w:style w:type="paragraph" w:styleId="4">
    <w:name w:val="heading 3"/>
    <w:next w:val="1"/>
    <w:qFormat/>
    <w:uiPriority w:val="0"/>
    <w:pPr>
      <w:spacing w:before="200" w:after="12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宋体" w:hAnsi="宋体" w:eastAsia="宋体" w:cs="宋体"/>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footnote text"/>
    <w:link w:val="20"/>
    <w:semiHidden/>
    <w:unhideWhenUsed/>
    <w:qFormat/>
    <w:uiPriority w:val="99"/>
    <w:pPr>
      <w:spacing w:after="0" w:line="240" w:lineRule="auto"/>
    </w:pPr>
    <w:rPr>
      <w:rFonts w:ascii="宋体" w:hAnsi="宋体" w:eastAsia="宋体" w:cs="宋体"/>
      <w:sz w:val="20"/>
      <w:szCs w:val="20"/>
    </w:rPr>
  </w:style>
  <w:style w:type="paragraph" w:styleId="11">
    <w:name w:val="Normal (Web)"/>
    <w:basedOn w:val="1"/>
    <w:uiPriority w:val="0"/>
    <w:rPr>
      <w:sz w:val="24"/>
    </w:rPr>
  </w:style>
  <w:style w:type="paragraph" w:styleId="12">
    <w:name w:val="Title"/>
    <w:qFormat/>
    <w:uiPriority w:val="0"/>
    <w:rPr>
      <w:rFonts w:ascii="宋体" w:hAnsi="宋体" w:eastAsia="宋体" w:cs="宋体"/>
      <w:sz w:val="56"/>
      <w:szCs w:val="56"/>
    </w:rPr>
  </w:style>
  <w:style w:type="table" w:styleId="14">
    <w:name w:val="Table Grid"/>
    <w:basedOn w:val="13"/>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6">
    <w:name w:val="endnote reference"/>
    <w:semiHidden/>
    <w:unhideWhenUsed/>
    <w:qFormat/>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宋体" w:hAnsi="宋体" w:eastAsia="宋体" w:cs="宋体"/>
      <w:sz w:val="24"/>
      <w:szCs w:val="24"/>
    </w:rPr>
  </w:style>
  <w:style w:type="character" w:customStyle="1" w:styleId="20">
    <w:name w:val="Footnote Text Char"/>
    <w:link w:val="10"/>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 w:type="paragraph" w:customStyle="1" w:styleId="22">
    <w:name w:val="图片"/>
    <w:basedOn w:val="1"/>
    <w:uiPriority w:val="0"/>
    <w:pPr>
      <w:keepNext/>
      <w:keepLines w:val="0"/>
      <w:widowControl w:val="0"/>
      <w:suppressLineNumbers w:val="0"/>
      <w:spacing w:beforeLines="0" w:beforeAutospacing="0" w:afterLines="0" w:afterAutospacing="0" w:line="240" w:lineRule="atLeast"/>
      <w:jc w:val="center"/>
    </w:pPr>
    <w:rPr>
      <w:rFonts w:hint="default" w:ascii="Times New Roman" w:hAnsi="Times New Roman" w:eastAsia="仿宋_GB2312" w:cs="Times New Roman"/>
      <w:b/>
      <w:bCs/>
      <w:color w:val="000000"/>
      <w:kern w:val="2"/>
      <w:sz w:val="24"/>
      <w:szCs w:val="24"/>
      <w:lang w:val="en-US" w:eastAsia="zh-CN" w:bidi="ar"/>
    </w:rPr>
  </w:style>
  <w:style w:type="paragraph" w:customStyle="1" w:styleId="23">
    <w:name w:val="正文000"/>
    <w:basedOn w:val="1"/>
    <w:uiPriority w:val="0"/>
    <w:pPr>
      <w:keepNext/>
      <w:keepLines w:val="0"/>
      <w:widowControl w:val="0"/>
      <w:suppressLineNumbers w:val="0"/>
      <w:spacing w:beforeLines="0" w:beforeAutospacing="0" w:afterLines="0" w:afterAutospacing="0" w:line="300" w:lineRule="auto"/>
      <w:ind w:firstLine="560" w:firstLineChars="200"/>
      <w:jc w:val="both"/>
    </w:pPr>
    <w:rPr>
      <w:rFonts w:hint="default" w:ascii="Calibri" w:hAnsi="Calibri" w:eastAsia="仿宋_GB2312" w:cs="Times New Roman"/>
      <w:color w:val="000000"/>
      <w:kern w:val="2"/>
      <w:sz w:val="28"/>
      <w:szCs w:val="28"/>
      <w:lang w:val="en-US" w:eastAsia="zh-CN" w:bidi="ar"/>
    </w:rPr>
  </w:style>
  <w:style w:type="paragraph" w:customStyle="1" w:styleId="24">
    <w:name w:val="No Spacing"/>
    <w:basedOn w:val="1"/>
    <w:uiPriority w:val="0"/>
    <w:pPr>
      <w:keepNext w:val="0"/>
      <w:keepLines w:val="0"/>
      <w:widowControl w:val="0"/>
      <w:suppressLineNumbers w:val="0"/>
      <w:spacing w:before="0" w:beforeAutospacing="0" w:after="0" w:afterAutospacing="0"/>
      <w:ind w:left="0" w:right="0"/>
      <w:jc w:val="both"/>
    </w:pPr>
    <w:rPr>
      <w:rFonts w:hint="default" w:ascii="Calibri" w:hAnsi="Calibri" w:cs="Calibri"/>
      <w:kern w:val="2"/>
      <w:sz w:val="21"/>
      <w:szCs w:val="21"/>
      <w:lang w:val="en-US" w:eastAsia="zh-CN" w:bidi="ar"/>
    </w:rPr>
  </w:style>
  <w:style w:type="character" w:customStyle="1" w:styleId="25">
    <w:name w:val="15"/>
    <w:basedOn w:val="15"/>
    <w:uiPriority w:val="0"/>
    <w:rPr>
      <w:rFonts w:hint="default" w:ascii="Calibri" w:hAnsi="Calibri" w:eastAsia="Times New Roman" w:cs="Calibri"/>
      <w:b/>
      <w:bCs/>
      <w:kern w:val="44"/>
      <w:sz w:val="44"/>
      <w:szCs w:val="44"/>
    </w:rPr>
  </w:style>
  <w:style w:type="table" w:customStyle="1" w:styleId="26">
    <w:name w:val="样式1"/>
    <w:basedOn w:val="13"/>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12" w:space="0"/>
        <w:bottom w:val="single" w:color="auto" w:sz="12" w:space="0"/>
      </w:tblBorders>
      <w:tblCellMar>
        <w:top w:w="0" w:type="dxa"/>
        <w:left w:w="108" w:type="dxa"/>
        <w:bottom w:w="0" w:type="dxa"/>
        <w:right w:w="108" w:type="dxa"/>
      </w:tblCellMar>
    </w:tblPr>
    <w:tcPr>
      <w:tcBorders>
        <w:top w:val="single" w:color="auto" w:sz="12" w:space="0"/>
        <w:bottom w:val="single" w:color="auto" w:sz="12" w:space="0"/>
      </w:tcBorders>
    </w:tcPr>
    <w:tblStylePr w:type="firstRow">
      <w:tcPr>
        <w:tcBorders>
          <w:top w:val="single" w:color="auto" w:sz="12" w:space="0"/>
          <w:left w:val="nil"/>
          <w:bottom w:val="single" w:color="auto" w:sz="6" w:space="0"/>
          <w:right w:val="nil"/>
          <w:tl2br w:val="nil"/>
          <w:tr2bl w:val="nil"/>
        </w:tcBorders>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10827</Words>
  <Characters>18105</Characters>
  <Lines>1</Lines>
  <Paragraphs>1</Paragraphs>
  <TotalTime>0</TotalTime>
  <ScaleCrop>false</ScaleCrop>
  <LinksUpToDate>false</LinksUpToDate>
  <CharactersWithSpaces>19061</CharactersWithSpaces>
  <Application>WPS Office WWO_wpscloud_20260708170905-59d7d5dabd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2026-07-17T16:25:00Z</dcterms:created>
  <dc:creator>Un-named</dc:creator>
  <cp:lastModifiedBy>凉介-</cp:lastModifiedBy>
  <dcterms:modified xsi:type="dcterms:W3CDTF">2026-07-22T13:30:13Z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eyJoZGlkIjoiM2M1NGZjNjUwZWU0ZTE0ZjA5YWJkMjgzODc0NzMwMjciLCJ1c2VySWQiOiIxMTQ1ODY4MDAzIn0=</vt:lpwstr>
  </property>
  <property fmtid="{D5CDD505-2E9C-101B-9397-08002B2CF9AE}" pid="3" name="KSOProductBuildVer">
    <vt:lpwstr>2052-12.9.0.27576</vt:lpwstr>
  </property>
  <property fmtid="{D5CDD505-2E9C-101B-9397-08002B2CF9AE}" pid="4" name="ICV">
    <vt:lpwstr>78D7EC460DAC19216555606ACD3D0AD1_43</vt:lpwstr>
  </property>
</Properties>
</file>