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47558">
      <w:pPr>
        <w:spacing w:before="2000" w:after="600"/>
        <w:jc w:val="center"/>
        <w:rPr>
          <w:rFonts w:hint="default" w:ascii="Times New Roman" w:hAnsi="Times New Roman" w:cs="Times New Roman"/>
        </w:rPr>
      </w:pPr>
      <w:r>
        <w:rPr>
          <w:rFonts w:hint="default" w:ascii="Times New Roman" w:hAnsi="Times New Roman" w:eastAsia="黑体" w:cs="Times New Roman"/>
          <w:b/>
          <w:bCs/>
          <w:sz w:val="44"/>
          <w:szCs w:val="44"/>
        </w:rPr>
        <w:t>国家自然科学基金申请书</w:t>
      </w:r>
    </w:p>
    <w:p w14:paraId="5C5FE599">
      <w:pPr>
        <w:spacing w:after="200"/>
        <w:jc w:val="center"/>
        <w:rPr>
          <w:rFonts w:hint="default" w:ascii="Times New Roman" w:hAnsi="Times New Roman" w:cs="Times New Roman"/>
        </w:rPr>
      </w:pPr>
      <w:r>
        <w:rPr>
          <w:rFonts w:hint="default" w:ascii="Times New Roman" w:hAnsi="Times New Roman" w:eastAsia="宋体" w:cs="Times New Roman"/>
          <w:sz w:val="28"/>
          <w:szCs w:val="28"/>
        </w:rPr>
        <w:t>（地区科学基金项目）</w:t>
      </w:r>
    </w:p>
    <w:p w14:paraId="6AB4D04C">
      <w:pPr>
        <w:spacing w:before="1200" w:after="300"/>
        <w:jc w:val="center"/>
        <w:rPr>
          <w:rFonts w:hint="default" w:ascii="Times New Roman" w:hAnsi="Times New Roman" w:cs="Times New Roman"/>
        </w:rPr>
      </w:pPr>
      <w:r>
        <w:rPr>
          <w:rFonts w:hint="default" w:ascii="Times New Roman" w:hAnsi="Times New Roman" w:eastAsia="黑体" w:cs="Times New Roman"/>
          <w:b/>
          <w:bCs/>
          <w:sz w:val="28"/>
          <w:szCs w:val="28"/>
        </w:rPr>
        <w:t>广西道地壮药桂艾活性成分β-石竹烯靶向Nrf2通路</w:t>
      </w:r>
    </w:p>
    <w:p w14:paraId="54EF9E2F">
      <w:pPr>
        <w:spacing w:after="2000"/>
        <w:jc w:val="center"/>
        <w:rPr>
          <w:rFonts w:hint="default" w:ascii="Times New Roman" w:hAnsi="Times New Roman" w:cs="Times New Roman"/>
        </w:rPr>
      </w:pPr>
      <w:r>
        <w:rPr>
          <w:rFonts w:hint="default" w:ascii="Times New Roman" w:hAnsi="Times New Roman" w:eastAsia="黑体" w:cs="Times New Roman"/>
          <w:b/>
          <w:bCs/>
          <w:sz w:val="28"/>
          <w:szCs w:val="28"/>
        </w:rPr>
        <w:t>抑制缺血诱导的铁依赖性SIPS改善脑缺血再灌注损伤的机制研究</w:t>
      </w:r>
    </w:p>
    <w:p w14:paraId="07928B69">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一、立项依据与研究内容</w:t>
      </w:r>
    </w:p>
    <w:p w14:paraId="0753B7D4">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（一）国内外研究现状与进展</w:t>
      </w:r>
    </w:p>
    <w:p w14:paraId="14E41F91">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1. 脑缺血再灌注损伤的临床困境与病理机制复杂性</w:t>
      </w:r>
    </w:p>
    <w:p w14:paraId="5BE25CA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脑卒中是全球范围内导致成人死亡和长期残疾的首要原因之一。在我国，脑卒中已成为首位致死和致残病因，每年新发病例超过200万，现存患者逾1300万，其中约70%的存活患者遗留不同程度的神经功能缺损，给家庭和社会带来沉重的疾病负担。急性缺血性脑卒中约占全部脑卒中的70%—80%，其治疗核心在于尽早恢复血流灌注。然而，静脉溶栓时间窗仅为发病后4.5小时，血管内治疗虽延长至6—24小时，但即便成功实现血管再通，仍有近半数患者预后不良，提示脑缺血再灌注损伤（cerebral ischemia-reperfusion injury, CIRI）是阻碍患者获益的关键因素。</w:t>
      </w:r>
    </w:p>
    <w:p w14:paraId="603EE840">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CIRI病理机制极为复杂，涉及氧化应激爆发、兴奋性毒性、神经炎症、血脑屏障破坏及多种调节性细胞死亡。这些病理过程相互交织，使得单一靶点干预策略往往难以奏效。半暗带概念为干预提供了理论框架——缺血核心区细胞发生快速坏死，半暗带细胞虽受应激但仍维持膜完整性，具有可逆性。然而，随着再灌注时间延长，半暗带细胞可通过多种机制发生进行性死亡或进入功能异常状态。除经典的坏死、凋亡外，铁死亡（ferroptosis）、焦亡、坏死性凋亡等新型调节性细胞死亡方式在CIRI中的作用逐渐被揭示。与此同时，越来越多证据表明，半暗带中存在一类既未死亡、也未恢复正常的细胞群体，它们进入持续性应激状态，通过旁分泌效应影响周围微环境，阻碍神经修复。细胞衰老（cellular senescence）正是这种状态的典型代表。</w:t>
      </w:r>
    </w:p>
    <w:p w14:paraId="626B634A">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2. 铁死亡：CIRI急性期神经元损伤的关键执行者</w:t>
      </w:r>
    </w:p>
    <w:p w14:paraId="477BD542">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铁死亡是Stockwell团队于2012年正式命名的一种铁依赖性、脂质过氧化驱动的调节性细胞死亡方式，其形态学、生化和遗传学特征均区别于凋亡、坏死和自噬[4]。铁死亡的核心机制是细胞抗氧化防御系统失能，导致含多不饱和脂肪酸的磷脂发生毒性过氧化产物大量堆积，最终破坏质膜完整性引发细胞死亡。其调控涉及三大核心通路的协同失衡：System Xc⁻/GPX4抗氧化轴、ACSL4/LPCAT3脂质重塑轴以及铁代谢调控轴。GPX4是目前已知唯一能直接还原磷脂氢过氧化物的酶，被视为铁死亡的核心守门分子；System Xc⁻通过摄取胱氨酸维持GSH合成，为GPX4提供还原当量；ACSL4催化多不饱和脂肪酸掺入膜磷脂，决定细胞对铁死亡的敏感性；铁代谢紊乱导致的游离铁升高则为Fenton反应提供催化剂[5]。</w:t>
      </w:r>
    </w:p>
    <w:p w14:paraId="6925981B">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近年来，铁死亡在CIRI中的作用得到广泛验证。多项独立研究表明，脑缺血再灌注后缺血脑组织出现典型的铁死亡特征，包括游离铁升高、GSH耗竭、GPX4活性下降、4-HNE和MDA堆积以及线粒体皱缩等[7,11,13]。胡晴雯等[3]在大鼠MCAO/R模型中系统证实了铁死亡的存在：再灌注后不同时间点铁死亡标志物呈时间依赖性升高，透射电镜观察到缺血皮层神经元线粒体皱缩、膜密度增高等铁死亡典型形态学特征，铁死亡抑制剂DFO可显著减小梗死体积、改善神经功能评分。药理学干预证实了铁死亡的因果作用：Ferrostatin-1、Liproxstatin-1及铁螯合剂DFO均可显著减小MCAO模型梗死体积、改善神经功能评分。细胞特异性研究进一步揭示了铁死亡的复杂性——神经元因高代谢率和高多不饱和脂肪酸含量对铁死亡高度敏感，星形胶质细胞、小胶质细胞及血管内皮细胞的铁死亡也参与病理进程。然而，铁死亡在CIRI中的作用并非仅限于急性期细胞杀伤——亚致死剂量的铁死亡应激是否会触发细胞进入其他应激状态（如细胞衰老），目前尚缺乏系统研究。</w:t>
      </w:r>
    </w:p>
    <w:p w14:paraId="5476A6D9">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3. 细胞衰老：缺血半暗带慢性化的重要推手</w:t>
      </w:r>
    </w:p>
    <w:p w14:paraId="1818F840">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细胞衰老是指细胞在应激因素作用下退出细胞周期，进入稳定的增殖停滞状态，同时伴随广泛的基因表达和代谢重编程，形成特征性的衰老相关分泌表型（senescence-associated secretory phenotype, SASP）[6]。经典的细胞衰老包括端粒依赖性的复制性衰老和应激诱导的早熟性衰老（stress-induced premature senescence, SIPS）。SIPS的核心分子通路包括p53/p21CIP1轴和p16INK4a/Rb轴，二者共同驱动细胞周期停滞的建立和维持。SASP是衰老细胞最具病理影响力的特征，其成分包括促炎细胞因子、趋化因子、生长因子、基质金属蛋白酶等，通过旁分泌和内分泌方式重塑组织微环境。</w:t>
      </w:r>
    </w:p>
    <w:p w14:paraId="69E48EF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传统观点认为细胞衰老主要与机体老化和年龄相关疾病有关，在急性损伤中作用有限。然而，近年来这一观念正在被修正。在脑缺血领域，越来越多证据表明，缺血性损伤可在梗死周围半暗带诱导多种细胞类型发生衰老样改变。啮齿类动物MCAO模型中，再灌注后数天内即可在半暗带检测到SA</w:t>
      </w:r>
      <w:r>
        <w:rPr>
          <w:rFonts w:hint="default" w:ascii="Times New Roman" w:hAnsi="Times New Roman" w:cs="Times New Roman"/>
          <w:b w:val="0"/>
          <w:bCs w:val="0"/>
          <w:sz w:val="24"/>
          <w:szCs w:val="24"/>
          <w:lang w:val="en-US" w:eastAsia="zh-CN"/>
        </w:rPr>
        <w:t>-</w:t>
      </w:r>
      <w:r>
        <w:rPr>
          <w:rFonts w:hint="default" w:ascii="Times New Roman" w:hAnsi="Times New Roman" w:eastAsia="宋体" w:cs="Times New Roman"/>
          <w:b w:val="0"/>
          <w:bCs w:val="0"/>
          <w:sz w:val="24"/>
          <w:szCs w:val="24"/>
        </w:rPr>
        <w:t>β-gal阳性细胞，伴随p21和p16表达上调、γH2AX焦点增加等衰老标志物激活[8]。发生衰老的细胞类型包括神经元、星形胶质细胞、小胶质细胞及血管内皮细胞，提示缺血性应激诱导的衰老具有细胞普遍性。道吉吉等[16]在D-半乳糖诱导的神经元衰老模型中证实，铁死亡相关分子（Nrf2、SLC7A11、GPX4下调，TFRC上调）与衰老标志物（p53、p21、p16上调）共存，铁死亡诱导剂Erastin可进一步加剧衰老表型，而靶向ErbB4受体的小分子激动剂可通过Akt/Nrf2通路同时抑制铁死亡和衰老。缺血诱导的衰老细胞并非被动旁观者，而是通过SASP促炎因子招募免疫细胞、激活胶质细胞形成慢性炎症微环境，基质金属蛋白酶降解细胞外基质、破坏血脑屏障，衰老的传播效应扩大损伤范围。从干预角度，衰老细胞清除剂（senolytics）在多种脑损伤模型中显示出改善功能预后的效果。然而，脑缺血后细胞衰老的触发因素和上游驱动机制尚未完全阐明，特别是氧化应激在衰老启动中的具体作用形式和分子通路仍有待深入揭示。</w:t>
      </w:r>
    </w:p>
    <w:p w14:paraId="6C50BBBB">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4. 铁死亡与细胞衰老的交汇：铁衰老概念及其在CIRI中的研究空白</w:t>
      </w:r>
    </w:p>
    <w:p w14:paraId="16C6CD47">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铁死亡与细胞衰老并非两个独立的病理过程，二者存在密切的交互作用和共同的上游驱动因素——氧化应激和铁代谢紊乱。近年来，研究者开始将这两个领域联系起来，提出了“铁衰老”（ferro-aging/ferro-senescence）的概念框架。2026年，Liu等[1]在Cell Metabolism发表的灵长类动物研究为铁衰老概念提供了系统性体内证据：随着灵长类年龄增长，肝脏和血清中铁水平逐渐升高，伴随ACSL4表达上调和脂质过氧化产物积累；铁过载可通过ACSL4介导的脂质过氧化通路驱动肝细胞和造血干细胞衰老，形成“铁代谢紊乱→脂质过氧化→细胞衰老”的完整级联；反之，抑制ACSL4或敲除铁调素调控基因可减轻衰老表型、延长健康寿命。该研究首次在高等哺乳动物中确立了ferro-aging作为生理性衰老驱动因素的地位，其时间尺度为月至年级，属于慢性衰老过程。</w:t>
      </w:r>
    </w:p>
    <w:p w14:paraId="76C09194">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4-羟基壬烯醛（4-hydroxynonenal, 4-HNE）是ω-6多不饱和脂肪酸过氧化的主要毒性醛类产物之一，具有高度亲电性，可与蛋白质的半胱氨酸、组氨酸和赖氨酸残基发生Michael加成反应，形成稳定的蛋白质羰基化修饰[14]。4-HNE在细胞内具有浓度依赖性的生物学效应：低浓度时作为信号分子参与多种通路调控，高浓度时则引发细胞毒性和细胞死亡。在铁死亡过程中，4-HNE是脂质过氧化的重要下游产物和标志物，其水平与铁死亡严重程度正相关。Monroe等[2]在Aging Cell发表的研究系统证实，4-HNE等脂质过氧化产物可在人成纤维细胞和小鼠脂肪干细胞中剂量依赖性地诱导衰老表型，包括SA-β-gal阳性率升高、γH2AX焦点积累、p53磷酸化增强、p21表达上调及SASP因子分泌增加。机制研究表明，4-HNE主要通过诱导氧化性DNA损伤、激活DNA损伤应答（DDR）通路导致p53 Ser15磷酸化，进而启动p21介导的细胞周期阻滞——这是一种间接的p53激活机制，而非4-HNE直接共价修饰p53蛋白所致。</w:t>
      </w:r>
    </w:p>
    <w:p w14:paraId="37BFE4D0">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基于上述文献线索，我们提出一个经过修正的4-HNE-p53-SLC7A11正反馈环路假说：铁死亡产生的4-HNE首先通过Keap1修饰激活Nrf2防御通路；当4-HNE持续积累超过防御阈值时，转而通过氧化性DNA损伤激活DDR-p53-p21通路驱动细胞衰老；同时，活化的p53可转录抑制SLC7A11，进一步削弱GSH合成和抗氧化防御，加剧脂质过氧化和4-HNE生成，形成“铁死亡→4-HNE→p53→SLC7A11↓→更多铁死亡”的正反馈环路，最终将亚致死性氧化应激转化为持续性的衰老表型。然而，目前关于铁死亡驱动细胞衰老的研究主要集中于肿瘤细胞和体外细胞系，在神经系统特别是缺血性脑损伤中的研究极为有限。CIRI半暗带中是否确实存在铁依赖性SIPS？其时空分布特征如何？4-HNE作用的机制选择性如何决定细胞命运？4-HNE-p53-SLC7A11分子轴是否在其中发挥关键作用？这些问题目前均缺乏直接的实验证据，有待系统研究加以阐明。</w:t>
      </w:r>
    </w:p>
    <w:p w14:paraId="39707E7B">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5. Nrf2通路：铁死亡防御与衰老抑制的共同枢纽</w:t>
      </w:r>
    </w:p>
    <w:p w14:paraId="78768F77">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核因子E2相关因子2（nuclear factor erythroid 2-related factor 2, Nrf2）是细胞抗氧化反应的主调控因子，属于碱性亮氨酸拉链转录因子家族。生理状态下，Nrf2被Keap1锚定在胞浆中，经Cullin-3介导的泛素-蛋白酶体途径快速降解，保持较低基础水平。当细胞暴露于氧化应激或亲电试剂时，Keap1关键半胱氨酸残基发生共价修饰，导致构象改变，丧失对Nrf2的泛素连接酶活性。新生的Nrf2逃脱降解并转位入核，与小Maf蛋白形成异二聚体，结合于抗氧化反应元件（ARE）保守序列，启动下游数百个靶基因转录。Nrf2靶基因涵盖抗氧化酶、解毒酶、物质代谢转运、蛋白质稳态、铁代谢调控等多个功能类别，共同构成细胞的综合性防御体系。</w:t>
      </w:r>
    </w:p>
    <w:p w14:paraId="7FAE684D">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Nrf2通路是铁死亡的重要防御机制。Nrf2可通过多层面调控抑制铁死亡发生：在抗氧化层面，上调GPX4表达直接增强磷脂过氧化物清除能力，上调SLC7A11促进胱氨酸摄取和GSH合成，间接维持GPX4活性；在铁代谢层面，转录激活铁蛋白（FTH1/FTL）促进游离铁螯合储存，上调铁输出蛋白FPN1降低不稳定铁池水平，下调TFR1减少铁摄取；在脂质代谢层面，调控ACSL4等脂质重塑相关酶表达，影响膜磷脂脂肪酸组成，降低铁死亡敏感性[12]。胡晴雯等[3]在大鼠MCAO/R模型中证实，BCP可显著增加Nrf2核转位，上调HO-1和GPX4表达，抑制ACSL4，从而减轻铁死亡和脑损伤；Nrf2抑制剂ML385可显著逆转BCP的神经保护效应，直接证明了Nrf2通路的关键作用。</w:t>
      </w:r>
    </w:p>
    <w:p w14:paraId="15FDAB30">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Nrf2同样是抑制细胞衰老和SASP的关键因子。多项研究表明，Nrf2的表达和活性随年龄增长而下降，这种下降与衰老表型出现和年龄相关疾病发生发展密切相关。在细胞水平，Nrf2缺失或功能低下可加速氧化应激诱导的SIPS，表现为SA-β-gal阳性率升高、端粒缩短加速、SASP分泌增强；反之，Nrf2激活则可延缓多种细胞类型的衰老进程，减轻SASP相关炎症反应。道吉吉等[16]在D-半乳糖诱导的神经元衰老模型中证实，Nrf2抑制剂可显著削弱ErbB4激动剂对SLC7A11和GPX4的上调作用，同时阻碍其逆转神经元衰老的效果，直接证明了Nrf2在铁死亡—衰老调控轴中的核心地位。鉴于Nrf2在铁死亡防御和衰老抑制中的双重核心作用，我们认为Nrf2通路是理想的干预靶点——激活Nrf2有望同时阻断铁死亡的急性期损伤和铁依赖性SIPS的慢性期损害，实现对CIRI病理进程的双阶段干预。</w:t>
      </w:r>
    </w:p>
    <w:p w14:paraId="7CF7F458">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6. 壮瑶药艾叶/桂艾及其活性成分β-石竹烯</w:t>
      </w:r>
    </w:p>
    <w:p w14:paraId="73F81CE1">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艾叶（Artemisia argyi Lévl. et Vant.）为菊科蒿属植物的干燥叶，是我国传统中药和广西道地壮瑶药材。艾叶入药历史悠久，始载于《名医别录》，其性温，味辛、苦，归肝、脾、肾经，具有温经止血、散寒止痛、外用祛湿止痒等功效。在壮瑶医药理论体系中，艾叶具有独特地位：壮语称“挨”，瑶语称“各艾”，被视为“通龙路火路、除风毒寒毒、逐湿邪”之要药。壮医“三道两路”理论认为，脑（巧坞）为神明之府，龙路火路网络密布；中风（麻邦）是由于风毒、火毒、痧毒循龙路火路上攻巧坞，致三道两路不通、气血失衡、天地人三气不能同步。艾叶的“通龙路火路、除毒邪”功效恰中中风病病机要害，因此在壮瑶医临床中常用于麻痹、头痛、眩晕等脑病防治。</w:t>
      </w:r>
    </w:p>
    <w:p w14:paraId="3AF8FA4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桂艾是产于广西地区的艾叶道地药材，因独特的地理气候条件而具有挥发油含量高、活性成分丰富的特点。桂艾挥发油是艾叶的主要药效物质基础，得油率约为0.45%—1.2%，已从中分离鉴定出数十种化学成分，其中β-石竹烯（β-caryophyllene, BCP）含量可高达15%—35%，是桂艾挥发油中最重要的倍半萜成分之一。BCP是一种天然存在的双环倍半萜化合物，已被美国FDA和欧洲食品安全局批准为食品添加剂，安全性极高。</w:t>
      </w:r>
    </w:p>
    <w:p w14:paraId="10E205D0">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现代药理学研究揭示了BCP的多种生物活性，包括抗炎、抗氧化、镇痛、抗肿瘤、保肝、护胃以及神经保护等。其中，抗炎和抗氧化活性是BCP最受关注的药理作用。BCP是大麻素CB2受体的选择性激动剂，可通过CB2受体依赖的信号通路发挥抗炎和免疫调节作用。在抗氧化方面，近年来研究发现BCP可显著激活Nrf2/ARE信号通路，上调多种抗氧化酶和II相解毒酶的表达。在神经系统疾病领域，BCP的神经保护作用已在多种模型中得到验证。刘京东等[17]报道BCP通过抑制Notch1/NF-κB信号轴减少炎性因子释放，减轻大鼠脑缺血再灌注损伤；左天睿等[18]证实BCP通过激活HSF1/HSP70通路减轻氧化应激和细胞凋亡。胡晴雯等[3]在Phytomedicine发表的研究明确证实，BCP可通过激活Nrf2/HO-1通路减轻大鼠脑缺血再灌注损伤：BCP预处理可剂量依赖性地减小MCAO/R模型梗死体积、降低脑水肿程度、改善神经功能评分，同时伴随脑组织中Nrf2核转位增加、HO-1表达上调及氧化应激指标改善；而Nrf2抑制剂ML385可显著逆转BCP的神经保护效应。药代动力学研究表明，BCP具有良好的血脑屏障穿透能力，口服给药后可迅速进入脑组织并维持有效浓度，为其中枢神经系统疾病治疗应用提供了药代动力学基础。</w:t>
      </w:r>
    </w:p>
    <w:p w14:paraId="2D067C7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近年来，BCP与铁死亡的关系开始受到关注。有研究报道BCP可通过激活Nrf2通路抑制肝纤维化模型中的铁死亡[15]，在顺铂耳毒性模型中也观察到BCP对铁死亡的抑制作用[16]。这些研究为BCP调控铁死亡提供了初步实验支持。然而，BCP是否能够通过激活Nrf2通路同时阻断铁死亡和铁依赖性SIPS，是否能够通过干预铁死亡—衰老正反馈环路改善CIRI远期预后，目前尚未见文献报道。考虑到BCP明确的Nrf2激活活性、良好的血脑屏障穿透性以及极高的安全性，系统研究BCP对铁依赖性SIPS的干预作用及其分子机制，具有重要的理论价值和转化潜力。</w:t>
      </w:r>
    </w:p>
    <w:p w14:paraId="69B1C34F">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7. 本项目拟解决的核心科学问题及研究意义</w:t>
      </w:r>
    </w:p>
    <w:p w14:paraId="7A978FE2">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综上所述，脑缺血再灌注损伤是急性缺血性脑卒中治疗中的重大临床难题，其病理机制涉及急性期多种调节性细胞死亡和慢性期神经炎症与修复障碍。铁死亡作为急性期神经元死亡的关键形式已得到广泛认可[7,13]；细胞衰老则被认为是缺血半暗带慢性化的重要推手[8]。然而，目前尚不清楚铁死亡是否以及如何驱动缺血半暗带中的细胞衰老（铁依赖性SIPS）。特别是，4-HNE作为脂质过氧化的核心产物，其作用的机制选择性（优先激活Keap1-Nrf2防御还是转向p53介导的衰老）是决定亚致死铁死亡压力最终细胞命运的关键科学问题。</w:t>
      </w:r>
    </w:p>
    <w:p w14:paraId="2D3F23EF">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基于文献线索和我们前期的网络药理学研究，我们推测：CIRI半暗带中存在亚致死性铁死亡压力驱动的铁依赖性SIPS；4-HNE作用存在时间依赖性的机制转换——早期激活Keap1-Nrf2防御，晚期超过阈值后通过DDR-p53通路驱动衰老；4-HNE-p53-SLC7A11正反馈环路是铁依赖性SIPS维持和放大的核心分子机制；Nrf2作为铁死亡防御与衰老抑制的共同枢纽，是理想的干预靶点；广西道地壮药桂艾的活性成分β-石竹烯可通过激活Nrf2通路，同时阻断铁死亡急性期损伤和铁依赖性SIPS慢性损害，从而改善CIRI远期预后。</w:t>
      </w:r>
    </w:p>
    <w:p w14:paraId="31974CB6">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本研究的理论意义在于：提出并验证缺血诱导的铁依赖性SIPS这一新型病理概念，丰富对CIRI慢性化机制的认识；阐明4-HNE作用的机制选择性及其在铁依赖性SIPS启动中的开关作用。实践意义在于：阐明壮瑶药桂艾活性成分β-石竹烯的神经保护新机制，为开发以铁衰老为靶点的脑卒中治疗药物提供理论依据和先导化合物，也为民族医药现代化研究提供可借鉴范式。</w:t>
      </w:r>
    </w:p>
    <w:p w14:paraId="39A530E0">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（二）项目组网药研究基础</w:t>
      </w:r>
    </w:p>
    <w:p w14:paraId="7DB287D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为验证上述科学假说，项目组前期整合多维度公开数据集与生物信息学方法，系统开展了脑缺血—铁衰老—石竹烯的网络药理学研究，完成了从疾病特征识别到药物靶点预测的全链条计算分析。</w:t>
      </w:r>
    </w:p>
    <w:p w14:paraId="4C818339">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1. 铁衰老转录特征的识别与验证</w:t>
      </w:r>
    </w:p>
    <w:p w14:paraId="0E23ACC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项目组构建了96个基因的铁衰老相关基因集，涵盖铁代谢调控、脂质过氧化与抗氧化防御、DNA损伤与衰老调控及SASP相关因子四大功能类别。整合4个脑缺血数据集（小鼠、大鼠、人，共117样本），采用ssGSEA方法[9]计算铁衰老评分。结果显示，在全部4个数据集中，铁衰老评分的疾病—对照效应量均大于单纯铁死亡或衰老评分，提示铁衰老基因集与缺血性脑损伤关联更为紧密，具有跨物种、跨平台稳健性。1000次置换检验证实该基因集具有高度特异性（P = 0.001）。时序分析显示铁衰老评分在再灌注后6h达峰，随后下降，提示当前转录组评分主要反映铁死亡相关转录状态，因此后续实验将聚焦于“铁死亡压力是否驱动细胞进入衰老状态”这一因果关系的证明。经LASSO稳定性筛选，获得SAT1、EBF3、KLF6、LIFR、CD74共5个CIRI-铁衰老特征基因，在3个独立数据集中得到验证。</w:t>
      </w:r>
    </w:p>
    <w:p w14:paraId="50D067A2">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2. 石竹烯靶点与铁衰老网络的拓扑关联</w:t>
      </w:r>
    </w:p>
    <w:p w14:paraId="44FD02F4">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采用交集+网络邻近扩展双路径策略，分析石竹烯干预脑缺血铁衰老的核心基因集。在STRING v12.0网络[10]中，石竹烯靶点群与铁死亡调控网络存在高度拓扑关联（超几何检验P = 2.48 × 10⁻⁴³），表明BCP可通过多靶点作用于铁衰老调控网络。刘胜伟等[19]的网络药理学研究同样证实BCP作用于CIRI的靶点富集于p53、MAPK、NF-κB等通路，与本分析结果高度一致。</w:t>
      </w:r>
    </w:p>
    <w:p w14:paraId="363E45F3">
      <w:pPr>
        <w:pStyle w:val="4"/>
        <w:spacing w:before="200" w:after="120"/>
        <w:rPr>
          <w:rFonts w:hint="default" w:ascii="Times New Roman" w:hAnsi="Times New Roman" w:cs="Times New Roman"/>
        </w:rPr>
      </w:pPr>
      <w:r>
        <w:rPr>
          <w:rFonts w:hint="default" w:ascii="Times New Roman" w:hAnsi="Times New Roman" w:eastAsia="黑体" w:cs="Times New Roman"/>
          <w:b/>
          <w:bCs/>
          <w:sz w:val="24"/>
          <w:szCs w:val="24"/>
        </w:rPr>
        <w:t>3. 核心科学假说</w:t>
      </w:r>
    </w:p>
    <w:p w14:paraId="6793C835">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基于上述研究基础，我们提出以下科学假说：β-石竹烯通过激活Nrf2通路，上调GPX4、FTH1和SLC7A11等下游靶基因，增强细胞抗氧化防御能力，减少4-HNE生成，阻断4-HNE从Keap1-Nrf2防御向DDR-p53衰老的机制转换，从而抑制缺血诱导的铁依赖性SIPS的启动和SASP的分泌，打破铁死亡→4-HNE→p53→SLC7A11↓→更多铁死亡的正反馈环路，最终改善脑缺血再灌注损伤的远期预后。BCP单体是桂艾挥发油的核心药效物质基础，桂艾挥发油因多成分整合可能呈现整体药效增益。</w:t>
      </w:r>
    </w:p>
    <w:p w14:paraId="3C8A5F75">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参考文献</w:t>
      </w:r>
    </w:p>
    <w:p w14:paraId="14D65B2D">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 Liu L, Zheng Z, You W, et al. Vitamin C inhibits ACSL4 to alleviate ferro-aging in primates. Cell Metab, 2026, 38(4): 673-693.</w:t>
      </w:r>
    </w:p>
    <w:p w14:paraId="68B610A1">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[2] Monroe TB, Hertzel AV, Dickey DM, et al. Lipid peroxidation products induce carbonyl stress, mitochondrial dysfunction, and cellular senescence in human and murine cells. Aging Cell, 2025, 24(1): e14367.</w:t>
      </w:r>
    </w:p>
    <w:p w14:paraId="40A7C9B6">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[3] Hu Q, Zuo T, Deng L, et al. β-Caryophyllene suppresses ferroptosis induced by cerebral ischemia reperfusion via activation of the NRF2/HO-1 signaling pathway in MCAO/R rats. Phytomedicine, 2022, 102: 154112.</w:t>
      </w:r>
    </w:p>
    <w:p w14:paraId="0FE7A4AF">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[4] Dixon SJ, Lemberg KM, Lamprecht MR, et al. Ferroptosis: an iron-dependent form of nonapoptotic cell death. Cell, 2012, 149(5): 1060-1072.</w:t>
      </w:r>
    </w:p>
    <w:p w14:paraId="15280F99">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[5] Stockwell BR, Friedmann Angeli JP, Bayir H, et al. Ferroptosis: a regulated cell death nexus linking metabolism, redox biology, and disease. Cell, 2017, 171(2): 273-285.</w:t>
      </w:r>
    </w:p>
    <w:p w14:paraId="2F6718DA">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[6] Tchkonia T, Zhu Y, van Deursen J, et al. Cellular senescence and the senescent secretory phenotype: therapeutic opportunities. J Clin Invest, 2013, 123(3): 966-972.</w:t>
      </w:r>
    </w:p>
    <w:p w14:paraId="6B1FD8CD">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[7] Guo J, Tuo QZ, Lei P. Iron, ferroptosis, and ischemic stroke. J Neurochem, 2023, 165(4): 487-520.</w:t>
      </w:r>
    </w:p>
    <w:p w14:paraId="0D7982E6">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[8] Real MGC, Falcione SR, Boghozian R, et al. Endothelial cell senescence effect on the blood-brain barrier in stroke and cognitive impairment. Neurology, 2024, 103(24): e210063.</w:t>
      </w:r>
    </w:p>
    <w:p w14:paraId="7B5CE095">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[9] Barbie DA, Tamayo P, Boehm JS, et al. Systematic RNA interference reveals that oncogenic KRAS-driven cancers require TBK1. Nature, 2009, 462(7269): 108-112.</w:t>
      </w:r>
    </w:p>
    <w:p w14:paraId="583B2D31">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[10] Szklarczyk D, Gable AL, Lyon D, et al. STRING v11: protein-protein association networks with increased coverage, supporting functional discovery in genome-wide experimental datasets. Nucleic Acids Res, 2019, 47(D1): D607-D613.</w:t>
      </w:r>
    </w:p>
    <w:p w14:paraId="0DB6909C">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[11] Fang X, Wang H, Han D, et al. Ferroptosis as a target for protection against cardiomyopathy. Proc Natl Acad Sci U S A, 2019, 116(7): 2672-2680.</w:t>
      </w:r>
    </w:p>
    <w:p w14:paraId="65E15C2B">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[12] Wang L, Zhang X, Xiong X, et al. Nrf2 regulates oxidative stress and its role in cerebral ischemic stroke. Antioxidants (Basel), 2022, 11(12): 2377.</w:t>
      </w:r>
    </w:p>
    <w:p w14:paraId="7EAD10F6">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[13] Tuo QZ, Lei P. Ferroptosis in ischemic stroke: animal models and mechanisms. Zool Res, 2024, 45(6): 1235-1248.</w:t>
      </w:r>
    </w:p>
    <w:p w14:paraId="33A1906A">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[14] Uchida K. 4-Hydroxy-2-nonenal: a product and mediator of oxidative stress. Prog Lipid Res, 2003, 42(4): 318-343.</w:t>
      </w:r>
    </w:p>
    <w:p w14:paraId="26E54869">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[15] Zhou Y, Tao S, Chen S, et al. Advances in ferroptosis-based therapy for aging and aging-related diseases. Chinese Journal of Comparative Medicine, 2023, 33(9): 121-131, 154.</w:t>
      </w:r>
    </w:p>
    <w:p w14:paraId="092819AA">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[16] Dao JJ, Zhang W, Liu C, et al. Targeted ErbB4 receptor activation prevents D-galactose-induced neuronal senescence via inhibiting ferroptosis pathway. Front Pharmacol, 2025, 16: 1528604.</w:t>
      </w:r>
    </w:p>
    <w:p w14:paraId="638BD541">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[17] Liu J, Chen S, Wang Y, et al. β-caryophyllene improves cerebral ischemia reperfusion injury in rats via Notch1/NF-κB signal axis. Journal of Third Military Medical University, 2021, 43(2): 109-117.</w:t>
      </w:r>
    </w:p>
    <w:p w14:paraId="51E1FD79">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[18] Zuo TR, Hu QW, Liu JD, et al. β-Caryophyllene reduces cerebral ischemia-reperfusion injury in rats by activating HSF1/HSP70 pathway. Chinese Journal of New Drugs, 2023, 32(5): 562-570.</w:t>
      </w:r>
    </w:p>
    <w:p w14:paraId="6C61C690">
      <w:pPr>
        <w:spacing w:after="80" w:line="320" w:lineRule="auto"/>
        <w:ind w:left="720" w:hanging="720"/>
        <w:rPr>
          <w:rFonts w:hint="default" w:ascii="Times New Roman" w:hAnsi="Times New Roman" w:cs="Times New Roman"/>
        </w:rPr>
      </w:pPr>
      <w:r>
        <w:rPr>
          <w:rFonts w:hint="default" w:ascii="Times New Roman" w:hAnsi="Times New Roman" w:eastAsia="Times New Roman" w:cs="Times New Roman"/>
          <w:sz w:val="21"/>
          <w:szCs w:val="21"/>
        </w:rPr>
        <w:t>[19] Liu S, Shen Z, Ren Z, et al. Network pharmacology-based study and in-vivo verification of β-caryophyllene against cerebral ischemia/reperfusion injury. Journal of New Chinese Medicine, 2024, 56(11): 63-69.</w:t>
      </w:r>
    </w:p>
    <w:p w14:paraId="25D0EBA0">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二、研究目标</w:t>
      </w:r>
    </w:p>
    <w:p w14:paraId="2768166C">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证实CIRI半暗带中存在缺血诱导的铁依赖性SIPS，阐明4-HNE作用的机制选择性在铁依赖性SIPS启动中的开关作用，明确4-HNE-p53-SLC7A11分子轴的关键作用。</w:t>
      </w:r>
    </w:p>
    <w:p w14:paraId="63485707">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阐明BCP通过Nrf2通路阻断铁依赖性SIPS的细胞分子机制，明确其作用靶点和信号调控网络，重点验证BCP→Nrf2→GPX4↑→4-HNE↓→阻断p53衰老转向→SLC7A11↑这一信号轴。</w:t>
      </w:r>
    </w:p>
    <w:p w14:paraId="6E2284A3">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在整体动物水平验证BCP改善CIRI远期预后的药效，确认其神经保护效应的Nrf2依赖性（药理学抑制+脑区特异性敲降双重验证）。</w:t>
      </w:r>
    </w:p>
    <w:p w14:paraId="14B98F49">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比较桂艾挥发油与BCP单体的药效差异，探讨民族药多成分整合效应，为壮瑶药现代化研究提供实验依据。</w:t>
      </w:r>
    </w:p>
    <w:p w14:paraId="5FAFC24D">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三、研究内容</w:t>
      </w:r>
    </w:p>
    <w:p w14:paraId="544E319D">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研究内容一：CIRI中铁依赖性SIPS的时空特征及分子轴研究</w:t>
      </w:r>
    </w:p>
    <w:p w14:paraId="10BAABFC">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本部分为项目研究重心，旨在明确CIRI后半暗带中是否存在铁依赖性SIPS，及其时空分布特征、细胞类型和核心分子机制，重点解答4-HNE作用的机制选择性问题。采用C57BL/6J小鼠MCAO/R模型（缺血60 min），在再灌注后6 h、24 h、3 d、7 d、28 d五个时间点取材。运用免疫荧光多重标记技术（NeuN/GFAP/Iba-1分别与铁死亡标志物GPX4/4-HNE/FTH1及衰老标志物p21/γH2AX共定位）、透射电镜、铁含量比色法及普鲁士蓝染色，系统定量分析铁衰老双阳性细胞的时空分布规律及细胞类型。</w:t>
      </w:r>
    </w:p>
    <w:p w14:paraId="7FB9B895">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研究内容二：BCP抗铁依赖性SIPS的细胞机制研究</w:t>
      </w:r>
    </w:p>
    <w:p w14:paraId="144BE8D9">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本部分旨在建立稳定的体外铁依赖性SIPS细胞模型，评价BCP的干预效果，并明确Nrf2在其中的关键作用。采用新生24 h内C57BL/6J小鼠原代皮层神经元和星形胶质细胞，以低剂量Erastin和OGD/R（2 h OGD + 24 h复氧）两种方法诱导亚致死量铁死亡压力。</w:t>
      </w:r>
    </w:p>
    <w:p w14:paraId="7C1B668A">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研究内容三：BCP改善CIRI远期预后的整体药效与机制验证</w:t>
      </w:r>
    </w:p>
    <w:p w14:paraId="6C946F2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本部分在整体动物水平验证BCP对CIRI的神经保护效应，重点关注远期功能预后，确认Nrf2依赖性。采用C57BL/6J小鼠MCAO/R模型，设假手术组、模型组、BCP低/中/高剂量组、Liproxstatin-1阳性药组、BCP+ML385组，每组12只。再灌注后即刻首次给药，给药14天，28天进行行为学终点评价。</w:t>
      </w:r>
    </w:p>
    <w:p w14:paraId="4B39AF8F">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研究内容四：桂艾挥发油与BCP单体的药效比较研究</w:t>
      </w:r>
    </w:p>
    <w:p w14:paraId="426198E1">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1）桂艾挥发油制备与质量控制：水蒸气蒸馏法提取广西道地桂艾挥发油，GC-MS成分分析，确保BCP含量15%-35%。（2）药效比较：在MCAO/R模型中比较桂艾挥发油组与等BCP摩尔含量的BCP单体组在梗死体积、铁死亡和衰老标志物方面的差异，初步判断多成分协同效应。（3）机制初步探索：比较两组Nrf2通路激活强度差异。</w:t>
      </w:r>
      <w:bookmarkStart w:id="0" w:name="_GoBack"/>
      <w:bookmarkEnd w:id="0"/>
    </w:p>
    <w:p w14:paraId="7A2E85D4">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四、拟解决的关键科学问题</w:t>
      </w:r>
    </w:p>
    <w:p w14:paraId="2680A0A0">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1. CIRI半暗带中铁依赖性SIPS的存在性及其4-HNE作用机制选择性的阐明。核心是回答“4-HNE为何在铁死亡情境下不主要激活Nrf2防御，而是转向p53介导的衰老”这一关键问题。这一问题的解决将为理解缺血性脑损伤从急性期向慢性期演变的机制提供新视角，丰富铁死亡与细胞衰老交互作用的理论体系。</w:t>
      </w:r>
    </w:p>
    <w:p w14:paraId="5331050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2. BCP通过Nrf2通路阻断铁依赖性SIPS、改善CIRI远期预后的分子机制解析。重点验证BCP→Nrf2→GPX4↑→4-HNE↓→阻断p53衰老转向→SLC7A11↑这一完整信号轴。这一问题的解决将为开发以铁衰老为靶点的脑卒中治疗药物提供先导化合物和理论基础。</w:t>
      </w:r>
    </w:p>
    <w:p w14:paraId="67DF9C6E">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3. 壮瑶药桂艾挥发油多成分整合效应的初步探索。明确BCP单体与桂艾挥发油整体的药效关系定位，为民族药现代化研究提供新的思路。</w:t>
      </w:r>
    </w:p>
    <w:p w14:paraId="6A4BD76F">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五、研究方案</w:t>
      </w:r>
    </w:p>
    <w:p w14:paraId="026F3D85">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5.1 实验材料与方法</w:t>
      </w:r>
    </w:p>
    <w:p w14:paraId="22A825F5">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实验动物与试剂：SPF级C57BL/6J小鼠（22-25 g，雄性），购自北京维通利华；β-石竹烯（Sigma-Aldrich，≥98.5%）、桂艾挥发油（自制，GC-MS鉴定）、Erastin/RSL3/Liproxstatin-1（MCE）、DFO、ML385、4-HNE（Sigma）、SA-β-gal染色试剂盒（CST）、C11-BODIPY 581/591（Invitrogen）。</w:t>
      </w:r>
    </w:p>
    <w:p w14:paraId="1B92F5A3">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抗体与病毒：抗GPX4、ACSL4、FTH1、p53、p-p53、p21、γH2AX、4-HNE、Nrf2、Keap1、HO-1、SLC7A11、NeuN、GFAP、Iba-1等（CST/Abcam/Proteintech）；AAV-shNrf2、AAV-p53 WT及突变体（汉恒/吉凯，滴度≥1×10¹² vg/mL）。</w:t>
      </w:r>
    </w:p>
    <w:p w14:paraId="7593B97E">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道地药材与模型：广西道地桂艾采自广西药用植物园GAP基地，经广西中医药大学鉴定；小鼠MCAO/R（改良线栓法，缺血60 min）；原代皮层神经元/星形胶质细胞培养；OGD/R模型。</w:t>
      </w:r>
    </w:p>
    <w:p w14:paraId="6D5BC6CB">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检测技术：铁死亡检测（Fe²⁺探针、C11-BODIPY、MDA、GSH、透射电镜）；衰老检测（SA-β-gal、p21/p16、SASP、免疫荧光）；分子生物学（Western Blot、qRT-PCR、IP、ChIP-qPCR、分子对接、CETSA）；行为学（转棒、足误）；脑立体定位注射AAV。</w:t>
      </w:r>
    </w:p>
    <w:p w14:paraId="6893839A">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5.2 统计学分析</w:t>
      </w:r>
    </w:p>
    <w:p w14:paraId="7C091EF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数据采用GraphPad Prism 9.0分析。计量资料以均数±标准差表示。两组比较采用t检验或Mann-Whitney U检验；多组比较采用单因素方差分析，两两比较用Tukey或Dunnett法；重复测量数据采用重复测量方差分析。高通量检测采用Benjamini-Hochberg法FDR校正（q &lt; 0.05）。以梗死体积为主要终点，按Cohen d ≈ 1.2、α = 0.05、Power = 0.80估算，每组n = 12（含20%脱落率）。P &lt; 0.05为差异有统计学意义。</w:t>
      </w:r>
    </w:p>
    <w:p w14:paraId="29E830AC">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六、技术路线</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F88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E8F5E9"/>
            <w:tcMar>
              <w:top w:w="60" w:type="dxa"/>
              <w:left w:w="80" w:type="dxa"/>
              <w:bottom w:w="60" w:type="dxa"/>
              <w:right w:w="80" w:type="dxa"/>
            </w:tcMar>
          </w:tcPr>
          <w:p w14:paraId="6F387DD2">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第一部分</w:t>
            </w:r>
          </w:p>
          <w:p w14:paraId="048150D5">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现象+机制</w:t>
            </w:r>
          </w:p>
          <w:p w14:paraId="19BE8916">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（第1年，重点）</w:t>
            </w:r>
          </w:p>
        </w:tc>
        <w:tc>
          <w:tcPr>
            <w:tcW w:w="7560" w:type="dxa"/>
            <w:shd w:val="clear" w:color="auto" w:fill="E8F5E9"/>
            <w:tcMar>
              <w:top w:w="60" w:type="dxa"/>
              <w:left w:w="80" w:type="dxa"/>
              <w:bottom w:w="60" w:type="dxa"/>
              <w:right w:w="80" w:type="dxa"/>
            </w:tcMar>
          </w:tcPr>
          <w:p w14:paraId="09670D05">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CIRI半暗带铁依赖性SIPS的存在性、时空特征及4-HNE机制选择性研究</w:t>
            </w:r>
          </w:p>
        </w:tc>
      </w:tr>
      <w:tr w14:paraId="7940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0CC3508C">
            <w:pPr>
              <w:spacing w:after="40" w:line="300" w:lineRule="auto"/>
              <w:jc w:val="center"/>
              <w:rPr>
                <w:rFonts w:hint="default" w:ascii="Times New Roman" w:hAnsi="Times New Roman" w:cs="Times New Roman"/>
              </w:rPr>
            </w:pPr>
          </w:p>
        </w:tc>
        <w:tc>
          <w:tcPr>
            <w:tcW w:w="7560" w:type="dxa"/>
            <w:shd w:val="clear" w:color="auto" w:fill="FFFFFF"/>
            <w:tcMar>
              <w:top w:w="60" w:type="dxa"/>
              <w:left w:w="80" w:type="dxa"/>
              <w:bottom w:w="60" w:type="dxa"/>
              <w:right w:w="80" w:type="dxa"/>
            </w:tcMar>
          </w:tcPr>
          <w:p w14:paraId="577D1174">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 时间：6h / 24h / 3d / 7d / 28d  ↓ 空间：核心区 / 半暗带 / 对侧区  ↓ 细胞：神经元 / 星形胶质细胞 / 小胶质细胞</w:t>
            </w:r>
          </w:p>
        </w:tc>
      </w:tr>
      <w:tr w14:paraId="372C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6B654D55">
            <w:pPr>
              <w:spacing w:after="40" w:line="300" w:lineRule="auto"/>
              <w:jc w:val="center"/>
              <w:rPr>
                <w:rFonts w:hint="default" w:ascii="Times New Roman" w:hAnsi="Times New Roman" w:cs="Times New Roman"/>
              </w:rPr>
            </w:pPr>
          </w:p>
        </w:tc>
        <w:tc>
          <w:tcPr>
            <w:tcW w:w="7560" w:type="dxa"/>
            <w:shd w:val="clear" w:color="auto" w:fill="FFF3E0"/>
            <w:tcMar>
              <w:top w:w="60" w:type="dxa"/>
              <w:left w:w="80" w:type="dxa"/>
              <w:bottom w:w="60" w:type="dxa"/>
              <w:right w:w="80" w:type="dxa"/>
            </w:tcMar>
          </w:tcPr>
          <w:p w14:paraId="30483F87">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关键技术：免疫荧光共定位 | SA-β-gal | 普鲁士蓝 | 透射电镜 | Western Blot | IP/IB | ChIP-qPCR</w:t>
            </w:r>
          </w:p>
        </w:tc>
      </w:tr>
      <w:tr w14:paraId="681D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1EE1D214">
            <w:pPr>
              <w:spacing w:after="40" w:line="300" w:lineRule="auto"/>
              <w:jc w:val="center"/>
              <w:rPr>
                <w:rFonts w:hint="default" w:ascii="Times New Roman" w:hAnsi="Times New Roman" w:cs="Times New Roman"/>
              </w:rPr>
            </w:pPr>
          </w:p>
        </w:tc>
        <w:tc>
          <w:tcPr>
            <w:tcW w:w="7560" w:type="dxa"/>
            <w:shd w:val="clear" w:color="auto" w:fill="FFFFFF"/>
            <w:tcMar>
              <w:top w:w="60" w:type="dxa"/>
              <w:left w:w="80" w:type="dxa"/>
              <w:bottom w:w="60" w:type="dxa"/>
              <w:right w:w="80" w:type="dxa"/>
            </w:tcMar>
          </w:tcPr>
          <w:p w14:paraId="4ABCAEDB">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 机制选择性验证：Keap1修饰vs p53修饰时序 + p53位点突变 + SLC7A11转录抑制验证 ↓</w:t>
            </w:r>
          </w:p>
        </w:tc>
      </w:tr>
      <w:tr w14:paraId="1B80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E3F2FD"/>
            <w:tcMar>
              <w:top w:w="60" w:type="dxa"/>
              <w:left w:w="80" w:type="dxa"/>
              <w:bottom w:w="60" w:type="dxa"/>
              <w:right w:w="80" w:type="dxa"/>
            </w:tcMar>
          </w:tcPr>
          <w:p w14:paraId="57CCA419">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第二部分</w:t>
            </w:r>
          </w:p>
          <w:p w14:paraId="5B15A5FF">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细胞机制</w:t>
            </w:r>
          </w:p>
          <w:p w14:paraId="589CCB09">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（第2年，重点）</w:t>
            </w:r>
          </w:p>
        </w:tc>
        <w:tc>
          <w:tcPr>
            <w:tcW w:w="7560" w:type="dxa"/>
            <w:shd w:val="clear" w:color="auto" w:fill="E3F2FD"/>
            <w:tcMar>
              <w:top w:w="60" w:type="dxa"/>
              <w:left w:w="80" w:type="dxa"/>
              <w:bottom w:w="60" w:type="dxa"/>
              <w:right w:w="80" w:type="dxa"/>
            </w:tcMar>
          </w:tcPr>
          <w:p w14:paraId="1E45C603">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BCP通过Nrf2通路阻断铁依赖性SIPS的细胞分子机制</w:t>
            </w:r>
          </w:p>
        </w:tc>
      </w:tr>
      <w:tr w14:paraId="358E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77642733">
            <w:pPr>
              <w:spacing w:after="40" w:line="300" w:lineRule="auto"/>
              <w:jc w:val="center"/>
              <w:rPr>
                <w:rFonts w:hint="default" w:ascii="Times New Roman" w:hAnsi="Times New Roman" w:cs="Times New Roman"/>
              </w:rPr>
            </w:pPr>
          </w:p>
        </w:tc>
        <w:tc>
          <w:tcPr>
            <w:tcW w:w="7560" w:type="dxa"/>
            <w:shd w:val="clear" w:color="auto" w:fill="FFFFFF"/>
            <w:tcMar>
              <w:top w:w="60" w:type="dxa"/>
              <w:left w:w="80" w:type="dxa"/>
              <w:bottom w:w="60" w:type="dxa"/>
              <w:right w:w="80" w:type="dxa"/>
            </w:tcMar>
          </w:tcPr>
          <w:p w14:paraId="3F7F44A0">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 体外SIPS模型严格验证  ↓ Nrf2依赖性双重验证  ↓ 分子轴调控 ↓</w:t>
            </w:r>
          </w:p>
        </w:tc>
      </w:tr>
      <w:tr w14:paraId="380F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4A9784F8">
            <w:pPr>
              <w:spacing w:after="40" w:line="300" w:lineRule="auto"/>
              <w:jc w:val="center"/>
              <w:rPr>
                <w:rFonts w:hint="default" w:ascii="Times New Roman" w:hAnsi="Times New Roman" w:cs="Times New Roman"/>
              </w:rPr>
            </w:pPr>
          </w:p>
        </w:tc>
        <w:tc>
          <w:tcPr>
            <w:tcW w:w="7560" w:type="dxa"/>
            <w:shd w:val="clear" w:color="auto" w:fill="FFFFFF"/>
            <w:tcMar>
              <w:top w:w="60" w:type="dxa"/>
              <w:left w:w="80" w:type="dxa"/>
              <w:bottom w:w="60" w:type="dxa"/>
              <w:right w:w="80" w:type="dxa"/>
            </w:tcMar>
          </w:tcPr>
          <w:p w14:paraId="6A12FEFB">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Erastin / OGD/R模型 | 铁死亡指标+逆转实验 | 4-HNE量效曲线    Nrf2过表达/沉默+ML385 | 分子对接 | CETSA    BCP→Nrf2→GPX4↑→4-HNE↓→阻断p53转向→SLC7A11↑ | 挽救实验 | 时序分析</w:t>
            </w:r>
          </w:p>
        </w:tc>
      </w:tr>
      <w:tr w14:paraId="3416B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CE4EC"/>
            <w:tcMar>
              <w:top w:w="60" w:type="dxa"/>
              <w:left w:w="80" w:type="dxa"/>
              <w:bottom w:w="60" w:type="dxa"/>
              <w:right w:w="80" w:type="dxa"/>
            </w:tcMar>
          </w:tcPr>
          <w:p w14:paraId="789E7200">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第三部分</w:t>
            </w:r>
          </w:p>
          <w:p w14:paraId="62BBF072">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整体药效</w:t>
            </w:r>
          </w:p>
          <w:p w14:paraId="4FA7C2D2">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（第3年）</w:t>
            </w:r>
          </w:p>
        </w:tc>
        <w:tc>
          <w:tcPr>
            <w:tcW w:w="7560" w:type="dxa"/>
            <w:shd w:val="clear" w:color="auto" w:fill="FCE4EC"/>
            <w:tcMar>
              <w:top w:w="60" w:type="dxa"/>
              <w:left w:w="80" w:type="dxa"/>
              <w:bottom w:w="60" w:type="dxa"/>
              <w:right w:w="80" w:type="dxa"/>
            </w:tcMar>
          </w:tcPr>
          <w:p w14:paraId="60C107BC">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BCP改善CIRI远期预后的整体药效 + Nrf2依赖双重验证</w:t>
            </w:r>
          </w:p>
        </w:tc>
      </w:tr>
      <w:tr w14:paraId="79F9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4E23CD35">
            <w:pPr>
              <w:spacing w:after="40" w:line="300" w:lineRule="auto"/>
              <w:jc w:val="center"/>
              <w:rPr>
                <w:rFonts w:hint="default" w:ascii="Times New Roman" w:hAnsi="Times New Roman" w:cs="Times New Roman"/>
              </w:rPr>
            </w:pPr>
          </w:p>
        </w:tc>
        <w:tc>
          <w:tcPr>
            <w:tcW w:w="7560" w:type="dxa"/>
            <w:shd w:val="clear" w:color="auto" w:fill="FFFFFF"/>
            <w:tcMar>
              <w:top w:w="60" w:type="dxa"/>
              <w:left w:w="80" w:type="dxa"/>
              <w:bottom w:w="60" w:type="dxa"/>
              <w:right w:w="80" w:type="dxa"/>
            </w:tcMar>
          </w:tcPr>
          <w:p w14:paraId="38B3E5C7">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 预实验：剂量探索+药代动力学  ↓ 整体药效  ↓ Nrf2依赖（ML385+AAV-shNrf2） ↓</w:t>
            </w:r>
          </w:p>
        </w:tc>
      </w:tr>
      <w:tr w14:paraId="387A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63406E7B">
            <w:pPr>
              <w:spacing w:after="40" w:line="300" w:lineRule="auto"/>
              <w:jc w:val="center"/>
              <w:rPr>
                <w:rFonts w:hint="default" w:ascii="Times New Roman" w:hAnsi="Times New Roman" w:cs="Times New Roman"/>
              </w:rPr>
            </w:pPr>
          </w:p>
        </w:tc>
        <w:tc>
          <w:tcPr>
            <w:tcW w:w="7560" w:type="dxa"/>
            <w:shd w:val="clear" w:color="auto" w:fill="FFFFFF"/>
            <w:tcMar>
              <w:top w:w="60" w:type="dxa"/>
              <w:left w:w="80" w:type="dxa"/>
              <w:bottom w:w="60" w:type="dxa"/>
              <w:right w:w="80" w:type="dxa"/>
            </w:tcMar>
          </w:tcPr>
          <w:p w14:paraId="7ECC856C">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MCAO/R模型 | TTC | 脑水肿 | mNSS | 转棒 | 足误（28d）    ML385药理学抑制 + 脑区特异性shNrf2 | 功能 + SIPS标志物验证</w:t>
            </w:r>
          </w:p>
        </w:tc>
      </w:tr>
      <w:tr w14:paraId="4868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3E5F5"/>
            <w:tcMar>
              <w:top w:w="60" w:type="dxa"/>
              <w:left w:w="80" w:type="dxa"/>
              <w:bottom w:w="60" w:type="dxa"/>
              <w:right w:w="80" w:type="dxa"/>
            </w:tcMar>
          </w:tcPr>
          <w:p w14:paraId="7AA2D434">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第四部分</w:t>
            </w:r>
          </w:p>
          <w:p w14:paraId="2B0B8DF4">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民族药</w:t>
            </w:r>
          </w:p>
          <w:p w14:paraId="4D1345C0">
            <w:pPr>
              <w:spacing w:after="40" w:line="300" w:lineRule="auto"/>
              <w:jc w:val="center"/>
              <w:rPr>
                <w:rFonts w:hint="default" w:ascii="Times New Roman" w:hAnsi="Times New Roman" w:cs="Times New Roman"/>
              </w:rPr>
            </w:pPr>
            <w:r>
              <w:rPr>
                <w:rFonts w:hint="default" w:ascii="Times New Roman" w:hAnsi="Times New Roman" w:eastAsia="宋体" w:cs="Times New Roman"/>
                <w:b/>
                <w:bCs/>
                <w:sz w:val="18"/>
                <w:szCs w:val="18"/>
              </w:rPr>
              <w:t>（第3年，探索）</w:t>
            </w:r>
          </w:p>
        </w:tc>
        <w:tc>
          <w:tcPr>
            <w:tcW w:w="7560" w:type="dxa"/>
            <w:shd w:val="clear" w:color="auto" w:fill="F3E5F5"/>
            <w:tcMar>
              <w:top w:w="60" w:type="dxa"/>
              <w:left w:w="80" w:type="dxa"/>
              <w:bottom w:w="60" w:type="dxa"/>
              <w:right w:w="80" w:type="dxa"/>
            </w:tcMar>
          </w:tcPr>
          <w:p w14:paraId="2BF33AC0">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桂艾挥发油与BCP单体药效比较（多成分整合效应探索）</w:t>
            </w:r>
          </w:p>
        </w:tc>
      </w:tr>
      <w:tr w14:paraId="2F7B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34FCF800">
            <w:pPr>
              <w:spacing w:after="40" w:line="300" w:lineRule="auto"/>
              <w:jc w:val="center"/>
              <w:rPr>
                <w:rFonts w:hint="default" w:ascii="Times New Roman" w:hAnsi="Times New Roman" w:cs="Times New Roman"/>
              </w:rPr>
            </w:pPr>
          </w:p>
        </w:tc>
        <w:tc>
          <w:tcPr>
            <w:tcW w:w="7560" w:type="dxa"/>
            <w:shd w:val="clear" w:color="auto" w:fill="FFFFFF"/>
            <w:tcMar>
              <w:top w:w="60" w:type="dxa"/>
              <w:left w:w="80" w:type="dxa"/>
              <w:bottom w:w="60" w:type="dxa"/>
              <w:right w:w="80" w:type="dxa"/>
            </w:tcMar>
          </w:tcPr>
          <w:p w14:paraId="69EC9E73">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 桂艾挥发油制备+GC-MS鉴定  ↓ 药效比较  ↓ Nrf2激活谱比较 ↓</w:t>
            </w:r>
          </w:p>
        </w:tc>
      </w:tr>
      <w:tr w14:paraId="55D7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60" w:type="dxa"/>
              <w:left w:w="80" w:type="dxa"/>
              <w:bottom w:w="60" w:type="dxa"/>
              <w:right w:w="80" w:type="dxa"/>
            </w:tcMar>
          </w:tcPr>
          <w:p w14:paraId="5077B975">
            <w:pPr>
              <w:spacing w:after="40" w:line="300" w:lineRule="auto"/>
              <w:jc w:val="center"/>
              <w:rPr>
                <w:rFonts w:hint="default" w:ascii="Times New Roman" w:hAnsi="Times New Roman" w:cs="Times New Roman"/>
              </w:rPr>
            </w:pPr>
          </w:p>
        </w:tc>
        <w:tc>
          <w:tcPr>
            <w:tcW w:w="7560" w:type="dxa"/>
            <w:shd w:val="clear" w:color="auto" w:fill="F3E5F5"/>
            <w:tcMar>
              <w:top w:w="60" w:type="dxa"/>
              <w:left w:w="80" w:type="dxa"/>
              <w:bottom w:w="60" w:type="dxa"/>
              <w:right w:w="80" w:type="dxa"/>
            </w:tcMar>
          </w:tcPr>
          <w:p w14:paraId="68F89195">
            <w:pPr>
              <w:spacing w:after="40" w:line="300" w:lineRule="auto"/>
              <w:jc w:val="center"/>
              <w:rPr>
                <w:rFonts w:hint="default" w:ascii="Times New Roman" w:hAnsi="Times New Roman" w:cs="Times New Roman"/>
              </w:rPr>
            </w:pPr>
            <w:r>
              <w:rPr>
                <w:rFonts w:hint="default" w:ascii="Times New Roman" w:hAnsi="Times New Roman" w:eastAsia="宋体" w:cs="Times New Roman"/>
                <w:b w:val="0"/>
                <w:bCs w:val="0"/>
                <w:sz w:val="18"/>
                <w:szCs w:val="18"/>
              </w:rPr>
              <w:t>↓ 最终结论：BCP通过激活Nrf2抑制铁依赖性SIPS，改善CIRI远期预后；桂艾挥发油可能有多成分增益</w:t>
            </w:r>
          </w:p>
        </w:tc>
      </w:tr>
    </w:tbl>
    <w:p w14:paraId="5A27C5CB">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七、可行性分析</w:t>
      </w:r>
    </w:p>
    <w:p w14:paraId="77F61233">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7.1 理论与技术可行性</w:t>
      </w:r>
    </w:p>
    <w:p w14:paraId="782C64F9">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铁死亡和细胞衰老是当前CIRI研究的两个热点领域，二者交互作用（铁衰老）是前沿交叉方向，具有坚实理论基础。铁死亡在CIRI中的作用已被众多实验室独立验证[3,7,13]；细胞衰老参与缺血后脑损伤慢性化也得到越来越多证据支持[8]；4-HNE诱导衰老效应已在多种细胞类型中得到证实[2]；Nrf2作为二者共同防御枢纽的地位已经确立[12]。前期4个脑缺血数据集整合分析证实：铁衰老评分疾病-对照效应量最大，五基因签名在3个独立数据集中得到验证，1000次置换检验P = 0.001；BCP靶点与铁死亡调控网络高度拓扑关联（超几何检验P = 2.48 × 10⁻⁴³）。实验材料与技术均成熟可靠：桂艾来源明确，BCP及AAV载体均为商品化试剂；MCAO/R模型、原代细胞培养、Western Blot、免疫荧光等均为常规技术；铁死亡和衰老检测试剂盒商品化程度高。</w:t>
      </w:r>
    </w:p>
    <w:p w14:paraId="13D2E32B">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7.2 前期工作基础</w:t>
      </w:r>
    </w:p>
    <w:p w14:paraId="594A905A">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本团队前期已在脑缺血、铁死亡和天然药物神经保护领域积累了扎实研究基础。计算生物学层面，已完成4个脑缺血数据集整合分析，建立CIRI-铁衰老五基因签名，验证了BCP靶点与铁死亡调控网络的高度拓扑富集。实验层面，已建立小鼠MCAO/R模型和原代神经细胞培养体系。Hu等[3]已证实BCP通过Nrf2/HO-1通路减轻大鼠脑缺血再灌注损伤，为本项目延伸研究提供直接前期支持。项目组与广西中医药大学、广西药用植物园等单位建立了良好合作关系，可为桂艾药材鉴定和成分分析提供技术支持。</w:t>
      </w:r>
    </w:p>
    <w:p w14:paraId="117FFDC1">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八、特色与创新之处</w:t>
      </w:r>
    </w:p>
    <w:p w14:paraId="6759EABC">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8.1 理论创新：提出CIRI中铁依赖性SIPS新假说</w:t>
      </w:r>
    </w:p>
    <w:p w14:paraId="0A066BE4">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现有研究多将铁死亡和细胞衰老视为CIRI中两个独立过程，分别关注急性期和慢性期，对二者因果联系缺乏系统探讨。铁死亡驱动衰老的概念主要在肿瘤和自然衰老领域提出，在缺血性脑损伤中研究几近空白。特别是4-HNE作用的机制选择性——为何在某些情况下激活Nrf2防御、另一些情况下驱动p53衰老——这一关键问题尚未解答。本项目率先提出CIRI半暗带中存在缺血诱导的铁依赖性SIPS假说，并进一步提出4-HNE作用存在时间依赖性机制转换的新视角，将CIRI急性期损伤与慢性期恶化机制贯通，为理解缺血性脑损伤慢性化提供新视角。</w:t>
      </w:r>
    </w:p>
    <w:p w14:paraId="1F02B754">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8.2 机制创新：揭示BCP通过Nrf2双阻断铁死亡-衰老的新机制</w:t>
      </w:r>
    </w:p>
    <w:p w14:paraId="228BEC4C">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BCP的神经保护作用已有报道，但多停留在宏观药效层面，对其细胞分子机制解析不够深入；BCP对铁死亡和衰老的研究多为独立报道，尚未将二者联系起来。本项目系统解析BCP通过激活Nrf2通路协同抑制铁死亡与铁依赖性SIPS的分子机制，明确BCP→Nrf2→GPX4↑→4-HNE↓→阻断p53衰老转向→SLC7A11↑完整信号轴，验证BCP对4-HNE-p53-SLC7A11正反馈环路的调控。首次阐明壮瑶药桂艾活性成分BCP通龙路火路、除毒邪功效的铁衰老干预科学内涵，为天然小分子同时靶向急性死亡和慢性衰老提供新范式。</w:t>
      </w:r>
    </w:p>
    <w:p w14:paraId="3243730B">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8.3 模式创新：构建壮瑶药-铁衰老的整合研究新模式</w:t>
      </w:r>
    </w:p>
    <w:p w14:paraId="3289D854">
      <w:pPr>
        <w:spacing w:after="120" w:line="360" w:lineRule="auto"/>
        <w:ind w:firstLine="480"/>
        <w:jc w:val="both"/>
        <w:rPr>
          <w:rFonts w:hint="default" w:ascii="Times New Roman" w:hAnsi="Times New Roman" w:cs="Times New Roman"/>
        </w:rPr>
      </w:pPr>
      <w:r>
        <w:rPr>
          <w:rFonts w:hint="default" w:ascii="Times New Roman" w:hAnsi="Times New Roman" w:eastAsia="宋体" w:cs="Times New Roman"/>
          <w:b w:val="0"/>
          <w:bCs w:val="0"/>
          <w:sz w:val="24"/>
          <w:szCs w:val="24"/>
        </w:rPr>
        <w:t>民族药现代化研究常停留在成分鉴定和活性筛选层面，与前沿生物学问题结合不够紧密。本项目构建基于壮瑶医药理论的道地药材-功效-核心成分-铁衰老靶点-信号通路精准整合研究模式，将壮瑶医“通龙路火路、除毒邪”传统功效与铁死亡-衰老交互的现代前沿生物学有机结合。明确BCP单体与桂艾挥发油分别代表“精准机制”与“整体观”两个研究层面，避免单体研究脱离民族药整体特色的常见问题，为民族药现代化研究提供可复制的范例。</w:t>
      </w:r>
    </w:p>
    <w:p w14:paraId="12CD586E">
      <w:pPr>
        <w:pStyle w:val="2"/>
        <w:spacing w:before="360" w:after="200"/>
        <w:rPr>
          <w:rFonts w:hint="default" w:ascii="Times New Roman" w:hAnsi="Times New Roman" w:cs="Times New Roman"/>
        </w:rPr>
      </w:pPr>
      <w:r>
        <w:rPr>
          <w:rFonts w:hint="default" w:ascii="Times New Roman" w:hAnsi="Times New Roman" w:eastAsia="黑体" w:cs="Times New Roman"/>
          <w:b/>
          <w:bCs/>
          <w:sz w:val="32"/>
          <w:szCs w:val="32"/>
        </w:rPr>
        <w:t>九、年度研究计划及预期研究成果</w:t>
      </w:r>
    </w:p>
    <w:p w14:paraId="2F88EE28">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9.1 第一年（2027年）</w:t>
      </w:r>
    </w:p>
    <w:p w14:paraId="320C4AD0">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建立小鼠MCAO/R模型并优化方法。</w:t>
      </w:r>
    </w:p>
    <w:p w14:paraId="4E2468A9">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完成铁依赖性SIPS的时空定位研究（5个时间点、3个脑区、3种细胞类型）。</w:t>
      </w:r>
    </w:p>
    <w:p w14:paraId="46D1D10F">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完成4-HNE机制选择性时序验证（Keap1修饰vs p53修饰动力学）。</w:t>
      </w:r>
    </w:p>
    <w:p w14:paraId="17128B43">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完成p53关键修饰位点鉴定及病毒包装与注射。</w:t>
      </w:r>
    </w:p>
    <w:p w14:paraId="4E7BF65F">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完成桂艾挥发油提取与GC-MS成分分析。</w:t>
      </w:r>
    </w:p>
    <w:p w14:paraId="713C79AE">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预期成果：发表SCI论文1篇，申请发明专利1项，培养硕士研究生1名。</w:t>
      </w:r>
    </w:p>
    <w:p w14:paraId="5637B6BD">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9.2 第二年（2028年）</w:t>
      </w:r>
    </w:p>
    <w:p w14:paraId="13992CCA">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建立稳定的体外铁依赖性SIPS细胞模型并完成铁依赖性验证。</w:t>
      </w:r>
    </w:p>
    <w:p w14:paraId="1034D2EC">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完成BCP抗铁依赖性SIPS药效评价及Nrf2依赖性细胞水平验证。</w:t>
      </w:r>
    </w:p>
    <w:p w14:paraId="4EDB10E2">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完成BCP对4-HNE-p53-SLC7A11分子轴调控的系统检测。</w:t>
      </w:r>
    </w:p>
    <w:p w14:paraId="2D1DA373">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完成C11-BODIPY+SA-β-gal双重染色共定位验证及分子对接/CETSA探索。</w:t>
      </w:r>
    </w:p>
    <w:p w14:paraId="6CCF8D00">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预期成果：发表SCI论文1-2篇，培养硕士研究生1名。</w:t>
      </w:r>
    </w:p>
    <w:p w14:paraId="714674F0">
      <w:pPr>
        <w:pStyle w:val="3"/>
        <w:spacing w:before="280" w:after="160"/>
        <w:rPr>
          <w:rFonts w:hint="default" w:ascii="Times New Roman" w:hAnsi="Times New Roman" w:cs="Times New Roman"/>
        </w:rPr>
      </w:pPr>
      <w:r>
        <w:rPr>
          <w:rFonts w:hint="default" w:ascii="Times New Roman" w:hAnsi="Times New Roman" w:eastAsia="黑体" w:cs="Times New Roman"/>
          <w:b/>
          <w:bCs/>
          <w:sz w:val="28"/>
          <w:szCs w:val="28"/>
        </w:rPr>
        <w:t>9.3 第三年（2029年）</w:t>
      </w:r>
    </w:p>
    <w:p w14:paraId="7EFED231">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完成BCP给药剂量预实验及整体药效评价。</w:t>
      </w:r>
    </w:p>
    <w:p w14:paraId="68D7C583">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完成Nrf2依赖性双重验证（ML385 + AAV-shNrf2）。</w:t>
      </w:r>
    </w:p>
    <w:p w14:paraId="5F7C6547">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完成脑组织铁依赖性SIPS标志物检测及桂艾挥发油与BCP药效比较。</w:t>
      </w:r>
    </w:p>
    <w:p w14:paraId="209EF03B">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数据整理、统计分析、论文撰写与项目结题验收。</w:t>
      </w:r>
    </w:p>
    <w:p w14:paraId="12FF92DC">
      <w:pPr>
        <w:spacing w:after="80" w:line="340" w:lineRule="auto"/>
        <w:ind w:left="720" w:hanging="360"/>
        <w:rPr>
          <w:rFonts w:hint="default" w:ascii="Times New Roman" w:hAnsi="Times New Roman" w:cs="Times New Roman"/>
        </w:rPr>
      </w:pPr>
      <w:r>
        <w:rPr>
          <w:rFonts w:hint="default" w:ascii="Times New Roman" w:hAnsi="Times New Roman" w:eastAsia="宋体" w:cs="Times New Roman"/>
          <w:sz w:val="24"/>
          <w:szCs w:val="24"/>
        </w:rPr>
        <w:t>• 预期成果：发表高影响力SCI论文1篇，培养研究生2-3名，申请发明专利1项。</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2789E">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FC0E8">
    <w:pPr>
      <w:jc w:val="center"/>
    </w:pPr>
    <w:r>
      <w:rPr>
        <w:rFonts w:ascii="宋体" w:hAnsi="宋体" w:eastAsia="宋体" w:cs="宋体"/>
        <w:i/>
        <w:iCs/>
        <w:sz w:val="18"/>
        <w:szCs w:val="18"/>
      </w:rPr>
      <w:t>β-石竹烯靶向Nrf2抑制铁依赖性SIPS改善CIRI研究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isplayBackgroundShape w:val="1"/>
  <w:documentProtection w:enforcement="0"/>
  <w:compat>
    <w:useFELayout/>
    <w:compatSetting w:name="compatibilityMode" w:uri="http://schemas.microsoft.com/office/word" w:val="15"/>
  </w:compat>
  <w:rsids>
    <w:rsidRoot w:val="00000000"/>
    <w:rsid w:val="51C255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00"/>
      <w:outlineLvl w:val="0"/>
    </w:pPr>
    <w:rPr>
      <w:rFonts w:ascii="黑体" w:hAnsi="黑体" w:eastAsia="黑体" w:cs="黑体"/>
      <w:b/>
      <w:bCs/>
      <w:sz w:val="32"/>
      <w:szCs w:val="32"/>
    </w:rPr>
  </w:style>
  <w:style w:type="paragraph" w:styleId="3">
    <w:name w:val="heading 2"/>
    <w:next w:val="1"/>
    <w:qFormat/>
    <w:uiPriority w:val="0"/>
    <w:pPr>
      <w:spacing w:before="280" w:after="160"/>
      <w:outlineLvl w:val="1"/>
    </w:pPr>
    <w:rPr>
      <w:rFonts w:ascii="黑体" w:hAnsi="黑体" w:eastAsia="黑体" w:cs="黑体"/>
      <w:b/>
      <w:bCs/>
      <w:sz w:val="28"/>
      <w:szCs w:val="28"/>
    </w:rPr>
  </w:style>
  <w:style w:type="paragraph" w:styleId="4">
    <w:name w:val="heading 3"/>
    <w:next w:val="1"/>
    <w:qFormat/>
    <w:uiPriority w:val="0"/>
    <w:pPr>
      <w:spacing w:before="200" w:after="120"/>
      <w:outlineLvl w:val="2"/>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10803</Words>
  <Characters>15630</Characters>
  <TotalTime>3</TotalTime>
  <ScaleCrop>false</ScaleCrop>
  <LinksUpToDate>false</LinksUpToDate>
  <CharactersWithSpaces>16327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2026-07-14T16:59:00Z</dcterms:created>
  <dc:creator>Un-named</dc:creator>
  <cp:lastModifiedBy>凉介-</cp:lastModifiedBy>
  <dcterms:modified xsi:type="dcterms:W3CDTF">2026-07-15T00:56:17Z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eyJoZGlkIjoiM2M1NGZjNjUwZWU0ZTE0ZjA5YWJkMjgzODc0NzMwMjciLCJ1c2VySWQiOiIxMTQ1ODY4MDAzIn0=</vt:lpwstr>
  </property>
  <property fmtid="{D5CDD505-2E9C-101B-9397-08002B2CF9AE}" pid="3" name="KSOProductBuildVer">
    <vt:lpwstr>2052-12.1.0.25225</vt:lpwstr>
  </property>
  <property fmtid="{D5CDD505-2E9C-101B-9397-08002B2CF9AE}" pid="4" name="ICV">
    <vt:lpwstr>D0EF695C77334381BE91B37B896F91BE_12</vt:lpwstr>
  </property>
</Properties>
</file>